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24C5C4" w14:textId="3489569F" w:rsidR="002B0A74" w:rsidRDefault="00113405">
      <w:pPr>
        <w:autoSpaceDE w:val="0"/>
        <w:autoSpaceDN w:val="0"/>
        <w:adjustRightInd w:val="0"/>
        <w:spacing w:after="0" w:line="240" w:lineRule="auto"/>
        <w:jc w:val="center"/>
        <w:rPr>
          <w:rFonts w:ascii="TimesNewRomanPS-BoldMT" w:hAnsi="TimesNewRomanPS-BoldMT" w:cs="TimesNewRomanPS-BoldMT"/>
          <w:b/>
          <w:bCs/>
          <w:color w:val="000000"/>
          <w:sz w:val="28"/>
          <w:szCs w:val="28"/>
          <w:lang w:val="en-US"/>
        </w:rPr>
      </w:pPr>
      <w:r w:rsidRPr="00113405">
        <w:rPr>
          <w:rFonts w:ascii="TimesNewRomanPS-BoldMT" w:hAnsi="TimesNewRomanPS-BoldMT" w:cs="TimesNewRomanPS-BoldMT"/>
          <w:b/>
          <w:bCs/>
          <w:color w:val="000000"/>
          <w:sz w:val="28"/>
          <w:szCs w:val="28"/>
          <w:lang w:val="en-US"/>
        </w:rPr>
        <w:t>Notes for Sustainable Leather Products from Analysis of Product Complaints Database</w:t>
      </w:r>
    </w:p>
    <w:p w14:paraId="12A6375E" w14:textId="77777777" w:rsidR="002B0A74" w:rsidRDefault="002B0A74">
      <w:pPr>
        <w:autoSpaceDE w:val="0"/>
        <w:autoSpaceDN w:val="0"/>
        <w:adjustRightInd w:val="0"/>
        <w:spacing w:after="0" w:line="240" w:lineRule="auto"/>
        <w:rPr>
          <w:rFonts w:ascii="Calibri" w:hAnsi="Calibri" w:cs="Calibri"/>
          <w:color w:val="76933C"/>
          <w:sz w:val="24"/>
          <w:szCs w:val="24"/>
          <w:lang w:val="en-US"/>
        </w:rPr>
      </w:pPr>
    </w:p>
    <w:p w14:paraId="68A821EF" w14:textId="77777777" w:rsidR="00113405" w:rsidRDefault="00113405">
      <w:pPr>
        <w:autoSpaceDE w:val="0"/>
        <w:autoSpaceDN w:val="0"/>
        <w:adjustRightInd w:val="0"/>
        <w:spacing w:after="0" w:line="240" w:lineRule="auto"/>
        <w:rPr>
          <w:rFonts w:ascii="Calibri" w:hAnsi="Calibri" w:cs="Calibri"/>
          <w:color w:val="76933C"/>
          <w:sz w:val="24"/>
          <w:szCs w:val="24"/>
          <w:lang w:val="en-US"/>
        </w:rPr>
      </w:pPr>
    </w:p>
    <w:p w14:paraId="0DA6D496" w14:textId="0988BE3D" w:rsidR="002B0A74" w:rsidRDefault="00113405">
      <w:pPr>
        <w:autoSpaceDE w:val="0"/>
        <w:autoSpaceDN w:val="0"/>
        <w:adjustRightInd w:val="0"/>
        <w:spacing w:after="0" w:line="240" w:lineRule="auto"/>
        <w:jc w:val="center"/>
        <w:rPr>
          <w:rFonts w:ascii="TimesNewRomanPSMT" w:hAnsi="TimesNewRomanPSMT" w:cs="TimesNewRomanPSMT"/>
          <w:b/>
          <w:color w:val="000000"/>
          <w:sz w:val="16"/>
          <w:szCs w:val="16"/>
          <w:vertAlign w:val="superscript"/>
          <w:lang w:val="en-US"/>
        </w:rPr>
      </w:pPr>
      <w:r>
        <w:rPr>
          <w:rFonts w:ascii="TimesNewRomanPSMT" w:hAnsi="TimesNewRomanPSMT" w:cs="TimesNewRomanPSMT"/>
          <w:b/>
          <w:color w:val="000000"/>
          <w:sz w:val="24"/>
          <w:szCs w:val="24"/>
          <w:lang w:val="en-US"/>
        </w:rPr>
        <w:t>Daisuke Murai</w:t>
      </w:r>
      <w:r>
        <w:rPr>
          <w:rFonts w:ascii="TimesNewRomanPSMT" w:hAnsi="TimesNewRomanPSMT" w:cs="TimesNewRomanPSMT"/>
          <w:b/>
          <w:color w:val="000000"/>
          <w:sz w:val="24"/>
          <w:szCs w:val="24"/>
          <w:vertAlign w:val="superscript"/>
          <w:lang w:val="en-US"/>
        </w:rPr>
        <w:t>1</w:t>
      </w:r>
    </w:p>
    <w:p w14:paraId="40E52936" w14:textId="77777777" w:rsidR="002B0A74" w:rsidRDefault="002B0A74">
      <w:pPr>
        <w:autoSpaceDE w:val="0"/>
        <w:autoSpaceDN w:val="0"/>
        <w:adjustRightInd w:val="0"/>
        <w:spacing w:after="0" w:line="240" w:lineRule="auto"/>
        <w:rPr>
          <w:rFonts w:ascii="TimesNewRomanPSMT" w:hAnsi="TimesNewRomanPSMT" w:cs="TimesNewRomanPSMT"/>
          <w:color w:val="76933C"/>
          <w:sz w:val="24"/>
          <w:szCs w:val="24"/>
          <w:lang w:val="en-US"/>
        </w:rPr>
      </w:pPr>
    </w:p>
    <w:p w14:paraId="75DE0328" w14:textId="7B477136" w:rsidR="00113405" w:rsidRPr="00113405" w:rsidRDefault="00000000" w:rsidP="00113405">
      <w:pPr>
        <w:autoSpaceDE w:val="0"/>
        <w:autoSpaceDN w:val="0"/>
        <w:adjustRightInd w:val="0"/>
        <w:spacing w:after="0" w:line="240" w:lineRule="auto"/>
        <w:rPr>
          <w:rFonts w:ascii="Times New Roman" w:hAnsi="Times New Roman" w:cs="Times New Roman"/>
          <w:color w:val="000000"/>
          <w:sz w:val="20"/>
          <w:szCs w:val="20"/>
          <w:lang w:val="en-US"/>
        </w:rPr>
      </w:pPr>
      <w:r>
        <w:rPr>
          <w:rFonts w:ascii="Times New Roman" w:hAnsi="Times New Roman" w:cs="Times New Roman"/>
          <w:color w:val="000000"/>
          <w:sz w:val="20"/>
          <w:szCs w:val="20"/>
          <w:vertAlign w:val="superscript"/>
          <w:lang w:val="en-US"/>
        </w:rPr>
        <w:t>1</w:t>
      </w:r>
      <w:r w:rsidR="00113405" w:rsidRPr="00113405">
        <w:rPr>
          <w:rFonts w:ascii="Times New Roman" w:hAnsi="Times New Roman" w:cs="Times New Roman"/>
          <w:color w:val="000000"/>
          <w:sz w:val="20"/>
          <w:szCs w:val="20"/>
          <w:lang w:val="en-US"/>
        </w:rPr>
        <w:t>QC Department,</w:t>
      </w:r>
      <w:r w:rsidR="00113405">
        <w:rPr>
          <w:rFonts w:ascii="Times New Roman" w:hAnsi="Times New Roman" w:cs="Times New Roman"/>
          <w:color w:val="000000"/>
          <w:sz w:val="20"/>
          <w:szCs w:val="20"/>
          <w:lang w:val="en-US"/>
        </w:rPr>
        <w:t xml:space="preserve"> </w:t>
      </w:r>
      <w:r w:rsidR="00113405" w:rsidRPr="00113405">
        <w:rPr>
          <w:rFonts w:ascii="Times New Roman" w:hAnsi="Times New Roman" w:cs="Times New Roman"/>
          <w:color w:val="000000"/>
          <w:sz w:val="20"/>
          <w:szCs w:val="20"/>
          <w:lang w:val="en-US"/>
        </w:rPr>
        <w:t>Consumer Product End-use Research Institute Corp.,</w:t>
      </w:r>
      <w:r w:rsidR="00113405">
        <w:rPr>
          <w:rFonts w:ascii="Times New Roman" w:hAnsi="Times New Roman" w:cs="Times New Roman"/>
          <w:color w:val="000000"/>
          <w:sz w:val="20"/>
          <w:szCs w:val="20"/>
          <w:lang w:val="en-US"/>
        </w:rPr>
        <w:t xml:space="preserve"> Nishi-ku Edobori 2-1-10-20F</w:t>
      </w:r>
      <w:r w:rsidR="00113405" w:rsidRPr="00113405">
        <w:rPr>
          <w:rFonts w:ascii="Times New Roman" w:hAnsi="Times New Roman" w:cs="Times New Roman"/>
          <w:color w:val="000000"/>
          <w:sz w:val="20"/>
          <w:szCs w:val="20"/>
          <w:lang w:val="en-US"/>
        </w:rPr>
        <w:t>,</w:t>
      </w:r>
      <w:r w:rsidR="00113405">
        <w:rPr>
          <w:rFonts w:ascii="Times New Roman" w:hAnsi="Times New Roman" w:cs="Times New Roman"/>
          <w:color w:val="000000"/>
          <w:sz w:val="20"/>
          <w:szCs w:val="20"/>
          <w:lang w:val="en-US"/>
        </w:rPr>
        <w:t xml:space="preserve"> </w:t>
      </w:r>
      <w:r w:rsidR="00113405" w:rsidRPr="00113405">
        <w:rPr>
          <w:rFonts w:ascii="Times New Roman" w:hAnsi="Times New Roman" w:cs="Times New Roman"/>
          <w:color w:val="000000"/>
          <w:sz w:val="20"/>
          <w:szCs w:val="20"/>
          <w:lang w:val="en-US"/>
        </w:rPr>
        <w:t>Osaka,</w:t>
      </w:r>
      <w:r w:rsidR="00113405">
        <w:rPr>
          <w:rFonts w:ascii="Times New Roman" w:hAnsi="Times New Roman" w:cs="Times New Roman"/>
          <w:color w:val="000000"/>
          <w:sz w:val="20"/>
          <w:szCs w:val="20"/>
          <w:lang w:val="en-US"/>
        </w:rPr>
        <w:t xml:space="preserve"> 550-0002, JAPAN, csyh499@dnt.daimaru.co.jp</w:t>
      </w:r>
    </w:p>
    <w:p w14:paraId="7AFB2833" w14:textId="77777777" w:rsidR="002B0A74" w:rsidRDefault="002B0A74">
      <w:pPr>
        <w:autoSpaceDE w:val="0"/>
        <w:autoSpaceDN w:val="0"/>
        <w:adjustRightInd w:val="0"/>
        <w:spacing w:after="0" w:line="240" w:lineRule="auto"/>
        <w:rPr>
          <w:rFonts w:ascii="TimesNewRomanPSMT" w:hAnsi="TimesNewRomanPSMT" w:cs="TimesNewRomanPSMT"/>
          <w:color w:val="76933C"/>
          <w:sz w:val="20"/>
          <w:szCs w:val="20"/>
          <w:lang w:val="en-US"/>
        </w:rPr>
      </w:pPr>
    </w:p>
    <w:p w14:paraId="3AC45FBB" w14:textId="77777777" w:rsidR="002B0A74" w:rsidRDefault="00000000">
      <w:pPr>
        <w:autoSpaceDE w:val="0"/>
        <w:autoSpaceDN w:val="0"/>
        <w:adjustRightInd w:val="0"/>
        <w:spacing w:after="0" w:line="240" w:lineRule="auto"/>
        <w:jc w:val="center"/>
        <w:rPr>
          <w:rFonts w:ascii="Times-Bold" w:hAnsi="Times-Bold" w:cs="Times-Bold"/>
          <w:b/>
          <w:bCs/>
          <w:color w:val="000000"/>
          <w:sz w:val="24"/>
          <w:szCs w:val="24"/>
          <w:lang w:val="en-US"/>
        </w:rPr>
      </w:pPr>
      <w:r>
        <w:rPr>
          <w:rFonts w:ascii="Times-Bold" w:hAnsi="Times-Bold" w:cs="Times-Bold"/>
          <w:b/>
          <w:bCs/>
          <w:color w:val="000000"/>
          <w:sz w:val="24"/>
          <w:szCs w:val="24"/>
          <w:lang w:val="en-US"/>
        </w:rPr>
        <w:t>Abstract</w:t>
      </w:r>
    </w:p>
    <w:p w14:paraId="05FF7F2E" w14:textId="77777777" w:rsidR="002B0A74" w:rsidRDefault="002B0A74">
      <w:pPr>
        <w:autoSpaceDE w:val="0"/>
        <w:autoSpaceDN w:val="0"/>
        <w:adjustRightInd w:val="0"/>
        <w:spacing w:after="0" w:line="240" w:lineRule="auto"/>
        <w:jc w:val="center"/>
        <w:rPr>
          <w:rFonts w:ascii="Calibri" w:hAnsi="Calibri" w:cs="Calibri"/>
          <w:color w:val="76933C"/>
          <w:sz w:val="23"/>
          <w:szCs w:val="23"/>
          <w:lang w:val="en-US"/>
        </w:rPr>
      </w:pPr>
    </w:p>
    <w:p w14:paraId="7050FB6B" w14:textId="77777777" w:rsidR="002B0A74" w:rsidRDefault="002B0A74">
      <w:pPr>
        <w:autoSpaceDE w:val="0"/>
        <w:autoSpaceDN w:val="0"/>
        <w:adjustRightInd w:val="0"/>
        <w:spacing w:after="0" w:line="240" w:lineRule="auto"/>
        <w:jc w:val="center"/>
        <w:rPr>
          <w:rFonts w:ascii="Calibri" w:hAnsi="Calibri" w:cs="Calibri"/>
          <w:color w:val="76933C"/>
          <w:sz w:val="23"/>
          <w:szCs w:val="23"/>
          <w:lang w:val="en-US"/>
        </w:rPr>
      </w:pPr>
    </w:p>
    <w:p w14:paraId="7AF5B247" w14:textId="79E77DCC" w:rsidR="00113405" w:rsidRPr="00113405" w:rsidRDefault="006E4FFF" w:rsidP="00113405">
      <w:pPr>
        <w:autoSpaceDE w:val="0"/>
        <w:autoSpaceDN w:val="0"/>
        <w:adjustRightInd w:val="0"/>
        <w:spacing w:after="0" w:line="240" w:lineRule="auto"/>
        <w:ind w:firstLineChars="50" w:firstLine="110"/>
        <w:rPr>
          <w:rFonts w:ascii="Times New Roman" w:hAnsi="Times New Roman" w:cs="Times New Roman"/>
          <w:lang w:val="en-US"/>
        </w:rPr>
      </w:pPr>
      <w:r w:rsidRPr="00113405">
        <w:rPr>
          <w:rFonts w:ascii="Times New Roman" w:hAnsi="Times New Roman" w:cs="Times New Roman"/>
          <w:lang w:val="en-US"/>
        </w:rPr>
        <w:t>To</w:t>
      </w:r>
      <w:r w:rsidR="00113405" w:rsidRPr="00113405">
        <w:rPr>
          <w:rFonts w:ascii="Times New Roman" w:hAnsi="Times New Roman" w:cs="Times New Roman"/>
          <w:lang w:val="en-US"/>
        </w:rPr>
        <w:t xml:space="preserve"> sustainably expand sales of leather products, recycling-oriented sustainable manufacturing and appealing superiority over competing materials are essential. In other words, we need to make more use of upcycling and reuse, so it is </w:t>
      </w:r>
      <w:r w:rsidRPr="00113405">
        <w:rPr>
          <w:rFonts w:ascii="Times New Roman" w:hAnsi="Times New Roman" w:cs="Times New Roman"/>
          <w:lang w:val="en-US"/>
        </w:rPr>
        <w:t>especially important</w:t>
      </w:r>
      <w:r w:rsidR="00113405" w:rsidRPr="00113405">
        <w:rPr>
          <w:rFonts w:ascii="Times New Roman" w:hAnsi="Times New Roman" w:cs="Times New Roman"/>
          <w:lang w:val="en-US"/>
        </w:rPr>
        <w:t xml:space="preserve"> to learn what kind of quality problems there are in aging products.</w:t>
      </w:r>
    </w:p>
    <w:p w14:paraId="3EC554E4" w14:textId="77777777" w:rsidR="00113405" w:rsidRPr="00113405" w:rsidRDefault="00113405" w:rsidP="00113405">
      <w:pPr>
        <w:autoSpaceDE w:val="0"/>
        <w:autoSpaceDN w:val="0"/>
        <w:adjustRightInd w:val="0"/>
        <w:spacing w:after="0" w:line="240" w:lineRule="auto"/>
        <w:rPr>
          <w:rFonts w:ascii="Times New Roman" w:hAnsi="Times New Roman" w:cs="Times New Roman"/>
          <w:lang w:val="en-US"/>
        </w:rPr>
      </w:pPr>
    </w:p>
    <w:p w14:paraId="3356757D" w14:textId="77777777" w:rsidR="00113405" w:rsidRPr="00113405" w:rsidRDefault="00113405" w:rsidP="00113405">
      <w:pPr>
        <w:autoSpaceDE w:val="0"/>
        <w:autoSpaceDN w:val="0"/>
        <w:adjustRightInd w:val="0"/>
        <w:spacing w:after="0" w:line="240" w:lineRule="auto"/>
        <w:rPr>
          <w:rFonts w:ascii="Times New Roman" w:hAnsi="Times New Roman" w:cs="Times New Roman"/>
          <w:lang w:val="en-US"/>
        </w:rPr>
      </w:pPr>
      <w:r w:rsidRPr="00113405">
        <w:rPr>
          <w:rFonts w:ascii="Times New Roman" w:hAnsi="Times New Roman" w:cs="Times New Roman"/>
          <w:lang w:val="en-US"/>
        </w:rPr>
        <w:t xml:space="preserve"> While we are establishing quality standards at Japanese department stores, we are constantly in contact with product complaints. Product complaints are difficult to resolve individually and are often handled confidentially, but when aggregated into statistical data, they clearly reflect customer wishes and disappointments. Furthermore, by comparing competing materials in the same way, we would like to draw out the problems faced by leather products and their superiority over competing materials.</w:t>
      </w:r>
    </w:p>
    <w:p w14:paraId="16E5FAE7" w14:textId="77777777" w:rsidR="00113405" w:rsidRPr="00113405" w:rsidRDefault="00113405" w:rsidP="00113405">
      <w:pPr>
        <w:autoSpaceDE w:val="0"/>
        <w:autoSpaceDN w:val="0"/>
        <w:adjustRightInd w:val="0"/>
        <w:spacing w:after="0" w:line="240" w:lineRule="auto"/>
        <w:rPr>
          <w:rFonts w:ascii="Times New Roman" w:hAnsi="Times New Roman" w:cs="Times New Roman"/>
          <w:lang w:val="en-US"/>
        </w:rPr>
      </w:pPr>
    </w:p>
    <w:p w14:paraId="0FD73621" w14:textId="0E4835A7" w:rsidR="00113405" w:rsidRPr="00113405" w:rsidRDefault="00113405" w:rsidP="00113405">
      <w:pPr>
        <w:autoSpaceDE w:val="0"/>
        <w:autoSpaceDN w:val="0"/>
        <w:adjustRightInd w:val="0"/>
        <w:spacing w:after="0" w:line="240" w:lineRule="auto"/>
        <w:rPr>
          <w:rFonts w:ascii="Times New Roman" w:hAnsi="Times New Roman" w:cs="Times New Roman"/>
          <w:lang w:val="en-US"/>
        </w:rPr>
      </w:pPr>
      <w:r w:rsidRPr="00113405">
        <w:rPr>
          <w:rFonts w:ascii="Times New Roman" w:hAnsi="Times New Roman" w:cs="Times New Roman"/>
          <w:lang w:val="en-US"/>
        </w:rPr>
        <w:t xml:space="preserve"> In this survey, products that have been sold for more than 3 years are defined as aged </w:t>
      </w:r>
      <w:r w:rsidR="006E4FFF" w:rsidRPr="00113405">
        <w:rPr>
          <w:rFonts w:ascii="Times New Roman" w:hAnsi="Times New Roman" w:cs="Times New Roman"/>
          <w:lang w:val="en-US"/>
        </w:rPr>
        <w:t>products and</w:t>
      </w:r>
      <w:r w:rsidRPr="00113405">
        <w:rPr>
          <w:rFonts w:ascii="Times New Roman" w:hAnsi="Times New Roman" w:cs="Times New Roman"/>
          <w:lang w:val="en-US"/>
        </w:rPr>
        <w:t xml:space="preserve"> compared with products that have been sold for less than 3 years (mostly less than 1 year). As a result, the composition ratio of synthetic, etc., has increased in aging products, while the composition ratio of leather has decreased. This reflects the fact that in hot and humid climates such as Asia, polyurethane is hydrolyzed, and its strength is likely to drop significantly. In addition, there were cases where stains occurred on the leather near the areas where the adhesive was used.</w:t>
      </w:r>
    </w:p>
    <w:p w14:paraId="4E444B08" w14:textId="77777777" w:rsidR="00113405" w:rsidRPr="00113405" w:rsidRDefault="00113405" w:rsidP="00113405">
      <w:pPr>
        <w:autoSpaceDE w:val="0"/>
        <w:autoSpaceDN w:val="0"/>
        <w:adjustRightInd w:val="0"/>
        <w:spacing w:after="0" w:line="240" w:lineRule="auto"/>
        <w:rPr>
          <w:rFonts w:ascii="Times New Roman" w:hAnsi="Times New Roman" w:cs="Times New Roman"/>
          <w:lang w:val="en-US"/>
        </w:rPr>
      </w:pPr>
    </w:p>
    <w:p w14:paraId="210FEF31" w14:textId="2CFF50D8" w:rsidR="00113405" w:rsidRPr="00113405" w:rsidRDefault="00113405" w:rsidP="00113405">
      <w:pPr>
        <w:autoSpaceDE w:val="0"/>
        <w:autoSpaceDN w:val="0"/>
        <w:adjustRightInd w:val="0"/>
        <w:spacing w:after="0" w:line="240" w:lineRule="auto"/>
        <w:rPr>
          <w:rFonts w:ascii="Times New Roman" w:hAnsi="Times New Roman" w:cs="Times New Roman"/>
          <w:lang w:val="en-US"/>
        </w:rPr>
      </w:pPr>
      <w:r w:rsidRPr="00113405">
        <w:rPr>
          <w:rFonts w:ascii="Times New Roman" w:hAnsi="Times New Roman" w:cs="Times New Roman"/>
          <w:lang w:val="en-US"/>
        </w:rPr>
        <w:t xml:space="preserve"> From the above results, we have reached the following conclusions. synthetic products are not durable, so it is recommended to wear them as soon as possible rather than storing them for a long time. Since leather products are durable, they can be used for a long time by replacing consumables such as metal fittings and fasteners. This report discusses these issues while presenting the basis for product complaints, such as the composition ratio and typical examples.</w:t>
      </w:r>
    </w:p>
    <w:p w14:paraId="5F21BE43" w14:textId="77777777" w:rsidR="002B0A74" w:rsidRDefault="002B0A74">
      <w:pPr>
        <w:autoSpaceDE w:val="0"/>
        <w:autoSpaceDN w:val="0"/>
        <w:adjustRightInd w:val="0"/>
        <w:spacing w:after="0" w:line="240" w:lineRule="auto"/>
        <w:jc w:val="center"/>
        <w:rPr>
          <w:rFonts w:ascii="Calibri" w:hAnsi="Calibri" w:cs="Calibri"/>
          <w:color w:val="76933C"/>
          <w:sz w:val="21"/>
          <w:szCs w:val="21"/>
          <w:lang w:val="en-US"/>
        </w:rPr>
      </w:pPr>
    </w:p>
    <w:p w14:paraId="2C8CF8F1" w14:textId="3F958E6C" w:rsidR="002B0A74" w:rsidRDefault="00000000">
      <w:pPr>
        <w:ind w:left="-284" w:right="-142"/>
        <w:rPr>
          <w:rFonts w:ascii="Times New Roman" w:hAnsi="Times New Roman" w:cs="Times New Roman"/>
          <w:sz w:val="20"/>
          <w:szCs w:val="20"/>
          <w:lang w:val="en-US"/>
        </w:rPr>
      </w:pPr>
      <w:r>
        <w:rPr>
          <w:rFonts w:ascii="Times-Roman" w:hAnsi="Times-Roman" w:cs="Times-Roman"/>
          <w:color w:val="000000"/>
          <w:sz w:val="18"/>
          <w:szCs w:val="18"/>
          <w:lang w:val="en-US"/>
        </w:rPr>
        <w:t xml:space="preserve">      </w:t>
      </w:r>
      <w:r>
        <w:rPr>
          <w:rFonts w:ascii="Times New Roman" w:hAnsi="Times New Roman" w:cs="Times New Roman"/>
          <w:color w:val="000000"/>
          <w:sz w:val="20"/>
          <w:szCs w:val="20"/>
          <w:lang w:val="en-US"/>
        </w:rPr>
        <w:t>Keywords:</w:t>
      </w:r>
      <w:r w:rsidRPr="000E23ED">
        <w:rPr>
          <w:rFonts w:ascii="Times New Roman" w:hAnsi="Times New Roman" w:cs="Times New Roman"/>
          <w:sz w:val="20"/>
          <w:szCs w:val="20"/>
          <w:lang w:val="en-US"/>
        </w:rPr>
        <w:t xml:space="preserve"> </w:t>
      </w:r>
      <w:r w:rsidR="000E23ED" w:rsidRPr="000E23ED">
        <w:rPr>
          <w:rFonts w:ascii="Times New Roman" w:hAnsi="Times New Roman" w:cs="Times New Roman"/>
          <w:sz w:val="20"/>
          <w:szCs w:val="20"/>
          <w:lang w:val="en-US"/>
        </w:rPr>
        <w:t>Leather Product;</w:t>
      </w:r>
      <w:r w:rsidR="006E4FFF">
        <w:rPr>
          <w:rFonts w:ascii="Times New Roman" w:hAnsi="Times New Roman" w:cs="Times New Roman"/>
          <w:sz w:val="20"/>
          <w:szCs w:val="20"/>
          <w:lang w:val="en-US"/>
        </w:rPr>
        <w:t xml:space="preserve"> </w:t>
      </w:r>
      <w:r w:rsidR="000E23ED" w:rsidRPr="000E23ED">
        <w:rPr>
          <w:rFonts w:ascii="Times New Roman" w:hAnsi="Times New Roman" w:cs="Times New Roman"/>
          <w:sz w:val="20"/>
          <w:szCs w:val="20"/>
          <w:lang w:val="en-US"/>
        </w:rPr>
        <w:t>Consumer Complaint;</w:t>
      </w:r>
      <w:r w:rsidR="006E4FFF">
        <w:rPr>
          <w:rFonts w:ascii="Times New Roman" w:hAnsi="Times New Roman" w:cs="Times New Roman"/>
          <w:sz w:val="20"/>
          <w:szCs w:val="20"/>
          <w:lang w:val="en-US"/>
        </w:rPr>
        <w:t xml:space="preserve"> </w:t>
      </w:r>
      <w:r w:rsidR="000E23ED" w:rsidRPr="000E23ED">
        <w:rPr>
          <w:rFonts w:ascii="Times New Roman" w:hAnsi="Times New Roman" w:cs="Times New Roman"/>
          <w:sz w:val="20"/>
          <w:szCs w:val="20"/>
          <w:lang w:val="en-US"/>
        </w:rPr>
        <w:t xml:space="preserve">Quality </w:t>
      </w:r>
      <w:r w:rsidR="006E4FFF" w:rsidRPr="000E23ED">
        <w:rPr>
          <w:rFonts w:ascii="Times New Roman" w:hAnsi="Times New Roman" w:cs="Times New Roman"/>
          <w:sz w:val="20"/>
          <w:szCs w:val="20"/>
          <w:lang w:val="en-US"/>
        </w:rPr>
        <w:t>Management</w:t>
      </w:r>
    </w:p>
    <w:p w14:paraId="37370D4B" w14:textId="77777777" w:rsidR="002B0A74" w:rsidRDefault="002B0A74">
      <w:pPr>
        <w:autoSpaceDE w:val="0"/>
        <w:autoSpaceDN w:val="0"/>
        <w:adjustRightInd w:val="0"/>
        <w:spacing w:after="0" w:line="240" w:lineRule="auto"/>
        <w:jc w:val="center"/>
        <w:rPr>
          <w:rFonts w:ascii="Calibri" w:hAnsi="Calibri" w:cs="Calibri"/>
          <w:color w:val="76933C"/>
          <w:sz w:val="28"/>
          <w:szCs w:val="28"/>
          <w:lang w:val="en-US"/>
        </w:rPr>
      </w:pPr>
    </w:p>
    <w:p w14:paraId="5605C49F" w14:textId="77777777" w:rsidR="002B0A74" w:rsidRDefault="002B0A74">
      <w:pPr>
        <w:autoSpaceDE w:val="0"/>
        <w:autoSpaceDN w:val="0"/>
        <w:adjustRightInd w:val="0"/>
        <w:spacing w:after="0" w:line="240" w:lineRule="auto"/>
        <w:jc w:val="center"/>
        <w:rPr>
          <w:rFonts w:ascii="Calibri" w:hAnsi="Calibri" w:cs="Calibri"/>
          <w:color w:val="76933C"/>
          <w:sz w:val="28"/>
          <w:szCs w:val="28"/>
          <w:lang w:val="en-US"/>
        </w:rPr>
      </w:pPr>
    </w:p>
    <w:p w14:paraId="63FD0DA9" w14:textId="1623C9AE" w:rsidR="002B0A74" w:rsidRDefault="00000000">
      <w:pPr>
        <w:pStyle w:val="a7"/>
        <w:numPr>
          <w:ilvl w:val="0"/>
          <w:numId w:val="1"/>
        </w:numPr>
        <w:autoSpaceDE w:val="0"/>
        <w:autoSpaceDN w:val="0"/>
        <w:adjustRightInd w:val="0"/>
        <w:spacing w:after="0" w:line="240" w:lineRule="auto"/>
        <w:rPr>
          <w:rFonts w:ascii="Times New Roman" w:hAnsi="Times New Roman" w:cs="Times New Roman"/>
          <w:b/>
          <w:bCs/>
          <w:color w:val="76933C"/>
          <w:lang w:val="en-US"/>
        </w:rPr>
      </w:pPr>
      <w:r>
        <w:rPr>
          <w:rFonts w:ascii="Times New Roman" w:hAnsi="Times New Roman" w:cs="Times New Roman"/>
          <w:b/>
          <w:bCs/>
          <w:color w:val="000000"/>
          <w:sz w:val="24"/>
          <w:szCs w:val="24"/>
          <w:lang w:val="en-US"/>
        </w:rPr>
        <w:t>Introduction</w:t>
      </w:r>
    </w:p>
    <w:p w14:paraId="7E01F3F1" w14:textId="77777777" w:rsidR="002B0A74" w:rsidRDefault="002B0A74">
      <w:pPr>
        <w:pStyle w:val="a7"/>
        <w:autoSpaceDE w:val="0"/>
        <w:autoSpaceDN w:val="0"/>
        <w:adjustRightInd w:val="0"/>
        <w:spacing w:after="0" w:line="240" w:lineRule="auto"/>
        <w:rPr>
          <w:rFonts w:ascii="TimesNewRomanPS-BoldMT" w:hAnsi="TimesNewRomanPS-BoldMT" w:cs="TimesNewRomanPS-BoldMT"/>
          <w:b/>
          <w:bCs/>
          <w:color w:val="76933C"/>
          <w:lang w:val="en-US"/>
        </w:rPr>
      </w:pPr>
    </w:p>
    <w:p w14:paraId="2BF865CE" w14:textId="2AA104D4" w:rsidR="002B0A74" w:rsidRPr="00883200" w:rsidRDefault="00883200" w:rsidP="00883200">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883200">
        <w:rPr>
          <w:rFonts w:ascii="Times New Roman" w:hAnsi="Times New Roman" w:cs="Times New Roman"/>
          <w:color w:val="000000"/>
          <w:lang w:val="en-US"/>
        </w:rPr>
        <w:t>Based on past complaints, we will introduce quality problems that tend to occur during long-term use. Avoiding these will promote the long-term use of your leather products. As a result of the investigation, the biggest problem was polyurethane hydrolysis, which is unique to the Asian region.</w:t>
      </w:r>
    </w:p>
    <w:p w14:paraId="7366500C" w14:textId="77777777" w:rsidR="002B0A74" w:rsidRDefault="002B0A74">
      <w:pPr>
        <w:autoSpaceDE w:val="0"/>
        <w:autoSpaceDN w:val="0"/>
        <w:adjustRightInd w:val="0"/>
        <w:spacing w:after="0" w:line="240" w:lineRule="auto"/>
        <w:rPr>
          <w:rFonts w:ascii="TimesNewRomanPSMT" w:hAnsi="TimesNewRomanPSMT" w:cs="TimesNewRomanPSMT"/>
          <w:color w:val="76933C"/>
          <w:lang w:val="en-US"/>
        </w:rPr>
      </w:pPr>
    </w:p>
    <w:p w14:paraId="3719CFC0" w14:textId="75FCD4FA" w:rsidR="002B0A74" w:rsidRDefault="00000000">
      <w:pPr>
        <w:pStyle w:val="a7"/>
        <w:numPr>
          <w:ilvl w:val="0"/>
          <w:numId w:val="1"/>
        </w:numPr>
        <w:autoSpaceDE w:val="0"/>
        <w:autoSpaceDN w:val="0"/>
        <w:adjustRightInd w:val="0"/>
        <w:spacing w:after="0" w:line="240" w:lineRule="auto"/>
        <w:rPr>
          <w:rFonts w:ascii="Times New Roman" w:hAnsi="Times New Roman" w:cs="Times New Roman"/>
          <w:b/>
          <w:bCs/>
          <w:color w:val="76933C"/>
          <w:sz w:val="24"/>
          <w:szCs w:val="24"/>
          <w:lang w:val="en-US"/>
        </w:rPr>
      </w:pPr>
      <w:r>
        <w:rPr>
          <w:rFonts w:ascii="Times New Roman" w:hAnsi="Times New Roman" w:cs="Times New Roman"/>
          <w:b/>
          <w:bCs/>
          <w:color w:val="000000"/>
          <w:sz w:val="24"/>
          <w:szCs w:val="24"/>
          <w:lang w:val="en-US"/>
        </w:rPr>
        <w:t>Material and Methods</w:t>
      </w:r>
    </w:p>
    <w:p w14:paraId="67604EA2" w14:textId="6FF34737" w:rsidR="002B0A74" w:rsidRDefault="000E23ED" w:rsidP="000E23ED">
      <w:pPr>
        <w:autoSpaceDE w:val="0"/>
        <w:autoSpaceDN w:val="0"/>
        <w:adjustRightInd w:val="0"/>
        <w:spacing w:after="0" w:line="240" w:lineRule="auto"/>
        <w:ind w:leftChars="300" w:left="660" w:firstLineChars="50" w:firstLine="110"/>
        <w:rPr>
          <w:rFonts w:ascii="Times New Roman" w:hAnsi="Times New Roman" w:cs="Times New Roman"/>
          <w:color w:val="76933C"/>
          <w:lang w:val="en-US"/>
        </w:rPr>
      </w:pPr>
      <w:r w:rsidRPr="000E23ED">
        <w:rPr>
          <w:rFonts w:ascii="Times New Roman" w:hAnsi="Times New Roman" w:cs="Times New Roman"/>
          <w:color w:val="000000"/>
          <w:lang w:val="en-US"/>
        </w:rPr>
        <w:t xml:space="preserve">We have been operating the database that records complaints and requests regarding product quality received by the customer service departments of a one of major Japanese department store chains since 1996. The chain has 10 stores in major cities in Japan, including Tokyo, Nagoya, Osaka, Hakata, and Sapporo. Currently, the database contains more than 100,000 customer correspondence records for sold products in the field of clothing, </w:t>
      </w:r>
      <w:r w:rsidR="006E4FFF" w:rsidRPr="000E23ED">
        <w:rPr>
          <w:rFonts w:ascii="Times New Roman" w:hAnsi="Times New Roman" w:cs="Times New Roman"/>
          <w:color w:val="000000"/>
          <w:lang w:val="en-US"/>
        </w:rPr>
        <w:t>food,</w:t>
      </w:r>
      <w:r w:rsidRPr="000E23ED">
        <w:rPr>
          <w:rFonts w:ascii="Times New Roman" w:hAnsi="Times New Roman" w:cs="Times New Roman"/>
          <w:color w:val="000000"/>
          <w:lang w:val="en-US"/>
        </w:rPr>
        <w:t xml:space="preserve"> and housing. In this report, we will introduce the </w:t>
      </w:r>
      <w:r w:rsidRPr="000E23ED">
        <w:rPr>
          <w:rFonts w:ascii="Times New Roman" w:hAnsi="Times New Roman" w:cs="Times New Roman"/>
          <w:color w:val="000000"/>
          <w:lang w:val="en-US"/>
        </w:rPr>
        <w:lastRenderedPageBreak/>
        <w:t>analysis results of clothing and miscellaneous goods such as shoes and bags that include leather products. Its target period is from 1996 to 2020.</w:t>
      </w:r>
    </w:p>
    <w:p w14:paraId="74B577E3" w14:textId="77777777" w:rsidR="002B0A74" w:rsidRDefault="002B0A74">
      <w:pPr>
        <w:autoSpaceDE w:val="0"/>
        <w:autoSpaceDN w:val="0"/>
        <w:adjustRightInd w:val="0"/>
        <w:spacing w:after="0" w:line="240" w:lineRule="auto"/>
        <w:rPr>
          <w:rFonts w:ascii="TimesNewRomanPSMT" w:hAnsi="TimesNewRomanPSMT" w:cs="TimesNewRomanPSMT"/>
          <w:color w:val="76933C"/>
          <w:lang w:val="en-US"/>
        </w:rPr>
      </w:pPr>
    </w:p>
    <w:p w14:paraId="70C533E7" w14:textId="22DF247C" w:rsidR="002B0A74" w:rsidRDefault="00000000">
      <w:pPr>
        <w:pStyle w:val="a7"/>
        <w:numPr>
          <w:ilvl w:val="0"/>
          <w:numId w:val="1"/>
        </w:numPr>
        <w:autoSpaceDE w:val="0"/>
        <w:autoSpaceDN w:val="0"/>
        <w:adjustRightInd w:val="0"/>
        <w:spacing w:after="0" w:line="240" w:lineRule="auto"/>
        <w:rPr>
          <w:rFonts w:ascii="Times New Roman" w:hAnsi="Times New Roman" w:cs="Times New Roman"/>
          <w:b/>
          <w:bCs/>
          <w:color w:val="76933C"/>
          <w:sz w:val="24"/>
          <w:szCs w:val="24"/>
          <w:lang w:val="en-US"/>
        </w:rPr>
      </w:pPr>
      <w:r>
        <w:rPr>
          <w:rFonts w:ascii="Times New Roman" w:hAnsi="Times New Roman" w:cs="Times New Roman"/>
          <w:b/>
          <w:bCs/>
          <w:color w:val="000000"/>
          <w:sz w:val="24"/>
          <w:szCs w:val="24"/>
          <w:lang w:val="en-US"/>
        </w:rPr>
        <w:t>Results and Discussion</w:t>
      </w:r>
    </w:p>
    <w:p w14:paraId="14D0B62F" w14:textId="77777777" w:rsidR="00D67A31" w:rsidRPr="00D67A31" w:rsidRDefault="00D67A31" w:rsidP="00D67A31">
      <w:pPr>
        <w:autoSpaceDE w:val="0"/>
        <w:autoSpaceDN w:val="0"/>
        <w:adjustRightInd w:val="0"/>
        <w:spacing w:after="0" w:line="240" w:lineRule="auto"/>
        <w:ind w:left="360"/>
        <w:rPr>
          <w:rFonts w:ascii="Times New Roman" w:hAnsi="Times New Roman" w:cs="Times New Roman"/>
          <w:b/>
          <w:bCs/>
          <w:color w:val="76933C"/>
          <w:sz w:val="24"/>
          <w:szCs w:val="24"/>
          <w:lang w:val="en-US"/>
        </w:rPr>
      </w:pPr>
    </w:p>
    <w:p w14:paraId="23BB0E07" w14:textId="46B7E612" w:rsidR="000E23ED" w:rsidRDefault="000E23ED" w:rsidP="000E23ED">
      <w:pPr>
        <w:autoSpaceDE w:val="0"/>
        <w:autoSpaceDN w:val="0"/>
        <w:adjustRightInd w:val="0"/>
        <w:spacing w:after="0" w:line="240" w:lineRule="auto"/>
        <w:ind w:firstLineChars="200" w:firstLine="442"/>
        <w:rPr>
          <w:rFonts w:ascii="Times New Roman" w:hAnsi="Times New Roman" w:cs="Times New Roman"/>
          <w:b/>
          <w:bCs/>
          <w:color w:val="000000"/>
          <w:lang w:val="en-US"/>
        </w:rPr>
      </w:pPr>
      <w:r w:rsidRPr="000E23ED">
        <w:rPr>
          <w:rFonts w:ascii="Times New Roman" w:hAnsi="Times New Roman" w:cs="Times New Roman"/>
          <w:b/>
          <w:bCs/>
          <w:color w:val="000000"/>
          <w:lang w:val="en-US"/>
        </w:rPr>
        <w:t>3.1 Composition of items</w:t>
      </w:r>
    </w:p>
    <w:p w14:paraId="3CEECEFC" w14:textId="1A1FC07D" w:rsidR="00D67A31" w:rsidRDefault="00925BD0" w:rsidP="00925BD0">
      <w:pPr>
        <w:autoSpaceDE w:val="0"/>
        <w:autoSpaceDN w:val="0"/>
        <w:adjustRightInd w:val="0"/>
        <w:spacing w:after="0" w:line="240" w:lineRule="auto"/>
        <w:ind w:firstLineChars="200" w:firstLine="440"/>
        <w:jc w:val="center"/>
        <w:rPr>
          <w:rFonts w:ascii="Times New Roman" w:hAnsi="Times New Roman" w:cs="Times New Roman"/>
          <w:b/>
          <w:bCs/>
          <w:color w:val="000000"/>
          <w:lang w:val="en-US"/>
        </w:rPr>
      </w:pPr>
      <w:r>
        <w:rPr>
          <w:noProof/>
        </w:rPr>
        <w:drawing>
          <wp:inline distT="0" distB="0" distL="0" distR="0" wp14:anchorId="4F282EBC" wp14:editId="65DEF7C8">
            <wp:extent cx="3805238" cy="2143125"/>
            <wp:effectExtent l="0" t="0" r="5080" b="9525"/>
            <wp:docPr id="94457551" name="グラフ 1">
              <a:extLst xmlns:a="http://schemas.openxmlformats.org/drawingml/2006/main">
                <a:ext uri="{FF2B5EF4-FFF2-40B4-BE49-F238E27FC236}">
                  <a16:creationId xmlns:a16="http://schemas.microsoft.com/office/drawing/2014/main" id="{FA31B494-65CA-9B0D-C83E-25554BA2CD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1597BC5E" w14:textId="45A11B26" w:rsidR="00925BD0" w:rsidRDefault="00925BD0" w:rsidP="00925BD0">
      <w:pPr>
        <w:autoSpaceDE w:val="0"/>
        <w:autoSpaceDN w:val="0"/>
        <w:adjustRightInd w:val="0"/>
        <w:spacing w:after="0" w:line="240" w:lineRule="auto"/>
        <w:ind w:firstLineChars="200" w:firstLine="442"/>
        <w:jc w:val="center"/>
        <w:rPr>
          <w:rFonts w:ascii="Times New Roman" w:hAnsi="Times New Roman" w:cs="Times New Roman"/>
          <w:b/>
          <w:bCs/>
          <w:color w:val="000000"/>
          <w:lang w:val="en-US"/>
        </w:rPr>
      </w:pPr>
      <w:r>
        <w:rPr>
          <w:rFonts w:ascii="Times New Roman" w:hAnsi="Times New Roman" w:cs="Times New Roman"/>
          <w:b/>
          <w:bCs/>
          <w:color w:val="000000"/>
          <w:lang w:val="en-US"/>
        </w:rPr>
        <w:t xml:space="preserve">Figure 1 Complaints </w:t>
      </w:r>
      <w:r w:rsidR="00A131C4">
        <w:rPr>
          <w:rFonts w:ascii="Times New Roman" w:hAnsi="Times New Roman" w:cs="Times New Roman"/>
          <w:b/>
          <w:bCs/>
          <w:color w:val="000000"/>
          <w:lang w:val="en-US"/>
        </w:rPr>
        <w:t>which complaints occurred</w:t>
      </w:r>
      <w:r>
        <w:rPr>
          <w:rFonts w:ascii="Times New Roman" w:hAnsi="Times New Roman" w:cs="Times New Roman"/>
          <w:b/>
          <w:bCs/>
          <w:color w:val="000000"/>
          <w:lang w:val="en-US"/>
        </w:rPr>
        <w:t xml:space="preserve"> by </w:t>
      </w:r>
      <w:proofErr w:type="gramStart"/>
      <w:r w:rsidR="00A131C4">
        <w:rPr>
          <w:rFonts w:ascii="Times New Roman" w:hAnsi="Times New Roman" w:cs="Times New Roman"/>
          <w:b/>
          <w:bCs/>
          <w:color w:val="000000"/>
          <w:lang w:val="en-US"/>
        </w:rPr>
        <w:t>items</w:t>
      </w:r>
      <w:proofErr w:type="gramEnd"/>
    </w:p>
    <w:p w14:paraId="2DDAB352" w14:textId="77777777" w:rsidR="00925BD0" w:rsidRPr="000E23ED" w:rsidRDefault="00925BD0" w:rsidP="00925BD0">
      <w:pPr>
        <w:autoSpaceDE w:val="0"/>
        <w:autoSpaceDN w:val="0"/>
        <w:adjustRightInd w:val="0"/>
        <w:spacing w:after="0" w:line="240" w:lineRule="auto"/>
        <w:ind w:firstLineChars="200" w:firstLine="442"/>
        <w:rPr>
          <w:rFonts w:ascii="Times New Roman" w:hAnsi="Times New Roman" w:cs="Times New Roman"/>
          <w:b/>
          <w:bCs/>
          <w:color w:val="000000"/>
          <w:lang w:val="en-US"/>
        </w:rPr>
      </w:pPr>
    </w:p>
    <w:p w14:paraId="5A15D86A" w14:textId="0D12B442" w:rsidR="000E23ED" w:rsidRPr="000E23ED" w:rsidRDefault="000E23ED"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0E23ED">
        <w:rPr>
          <w:rFonts w:ascii="Times New Roman" w:hAnsi="Times New Roman" w:cs="Times New Roman"/>
          <w:color w:val="000000"/>
          <w:lang w:val="en-US"/>
        </w:rPr>
        <w:t xml:space="preserve">Figure 1 shows the item composition of the target data. The number of product complaints for women's shoes and bags is </w:t>
      </w:r>
      <w:r w:rsidR="006E4FFF" w:rsidRPr="000E23ED">
        <w:rPr>
          <w:rFonts w:ascii="Times New Roman" w:hAnsi="Times New Roman" w:cs="Times New Roman"/>
          <w:color w:val="000000"/>
          <w:lang w:val="en-US"/>
        </w:rPr>
        <w:t>exceptionally large</w:t>
      </w:r>
      <w:r w:rsidRPr="000E23ED">
        <w:rPr>
          <w:rFonts w:ascii="Times New Roman" w:hAnsi="Times New Roman" w:cs="Times New Roman"/>
          <w:color w:val="000000"/>
          <w:lang w:val="en-US"/>
        </w:rPr>
        <w:t xml:space="preserve">, and case studies are </w:t>
      </w:r>
      <w:r w:rsidR="006E4FFF" w:rsidRPr="000E23ED">
        <w:rPr>
          <w:rFonts w:ascii="Times New Roman" w:hAnsi="Times New Roman" w:cs="Times New Roman"/>
          <w:color w:val="000000"/>
          <w:lang w:val="en-US"/>
        </w:rPr>
        <w:t>analyzed</w:t>
      </w:r>
      <w:r w:rsidRPr="000E23ED">
        <w:rPr>
          <w:rFonts w:ascii="Times New Roman" w:hAnsi="Times New Roman" w:cs="Times New Roman"/>
          <w:color w:val="000000"/>
          <w:lang w:val="en-US"/>
        </w:rPr>
        <w:t xml:space="preserve"> in this report.</w:t>
      </w:r>
    </w:p>
    <w:p w14:paraId="131C4B5A" w14:textId="77777777" w:rsidR="000E23ED" w:rsidRPr="000E23ED" w:rsidRDefault="000E23ED"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0E23ED">
        <w:rPr>
          <w:rFonts w:ascii="Times New Roman" w:hAnsi="Times New Roman" w:cs="Times New Roman"/>
          <w:color w:val="000000"/>
          <w:lang w:val="en-US"/>
        </w:rPr>
        <w:t xml:space="preserve"> Product complaints include the following cases.</w:t>
      </w:r>
    </w:p>
    <w:p w14:paraId="3F83844D" w14:textId="77777777" w:rsidR="000E23ED" w:rsidRPr="000E23ED" w:rsidRDefault="000E23ED"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0E23ED">
        <w:rPr>
          <w:rFonts w:ascii="Times New Roman" w:hAnsi="Times New Roman" w:cs="Times New Roman"/>
          <w:color w:val="000000"/>
          <w:lang w:val="en-US"/>
        </w:rPr>
        <w:t>(1) Cases in which the type and cause of the material were determined through scientific testing</w:t>
      </w:r>
    </w:p>
    <w:p w14:paraId="33775830" w14:textId="77777777" w:rsidR="000E23ED" w:rsidRPr="000E23ED" w:rsidRDefault="000E23ED"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0E23ED">
        <w:rPr>
          <w:rFonts w:ascii="Times New Roman" w:hAnsi="Times New Roman" w:cs="Times New Roman"/>
          <w:color w:val="000000"/>
          <w:lang w:val="en-US"/>
        </w:rPr>
        <w:t>(2) Cases in which the type of material is determined by quality labeling or supplier information</w:t>
      </w:r>
    </w:p>
    <w:p w14:paraId="047EF797" w14:textId="77777777" w:rsidR="000E23ED" w:rsidRPr="000E23ED" w:rsidRDefault="000E23ED"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0E23ED">
        <w:rPr>
          <w:rFonts w:ascii="Times New Roman" w:hAnsi="Times New Roman" w:cs="Times New Roman"/>
          <w:color w:val="000000"/>
          <w:lang w:val="en-US"/>
        </w:rPr>
        <w:t>(3) Cases in which the cause was estimated from past similar complaints</w:t>
      </w:r>
    </w:p>
    <w:p w14:paraId="23DA6B7D" w14:textId="2A8FCB7B" w:rsidR="000E23ED" w:rsidRDefault="000E23ED"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0E23ED">
        <w:rPr>
          <w:rFonts w:ascii="Times New Roman" w:hAnsi="Times New Roman" w:cs="Times New Roman"/>
          <w:color w:val="000000"/>
          <w:lang w:val="en-US"/>
        </w:rPr>
        <w:t xml:space="preserve">Product testing was conducted in </w:t>
      </w:r>
      <w:r w:rsidR="006E4FFF" w:rsidRPr="000E23ED">
        <w:rPr>
          <w:rFonts w:ascii="Times New Roman" w:hAnsi="Times New Roman" w:cs="Times New Roman"/>
          <w:color w:val="000000"/>
          <w:lang w:val="en-US"/>
        </w:rPr>
        <w:t>half</w:t>
      </w:r>
      <w:r w:rsidRPr="000E23ED">
        <w:rPr>
          <w:rFonts w:ascii="Times New Roman" w:hAnsi="Times New Roman" w:cs="Times New Roman"/>
          <w:color w:val="000000"/>
          <w:lang w:val="en-US"/>
        </w:rPr>
        <w:t xml:space="preserve"> of the complaints.</w:t>
      </w:r>
    </w:p>
    <w:p w14:paraId="610DF9B9" w14:textId="77777777" w:rsidR="000E23ED" w:rsidRDefault="000E23ED"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p>
    <w:p w14:paraId="453DF520" w14:textId="5AD5D817" w:rsidR="000E23ED" w:rsidRDefault="000E23ED" w:rsidP="000E23ED">
      <w:pPr>
        <w:autoSpaceDE w:val="0"/>
        <w:autoSpaceDN w:val="0"/>
        <w:adjustRightInd w:val="0"/>
        <w:spacing w:after="0" w:line="240" w:lineRule="auto"/>
        <w:ind w:firstLineChars="200" w:firstLine="442"/>
        <w:rPr>
          <w:rFonts w:ascii="Times New Roman" w:hAnsi="Times New Roman" w:cs="Times New Roman"/>
          <w:b/>
          <w:bCs/>
          <w:color w:val="000000"/>
          <w:lang w:val="en-US"/>
        </w:rPr>
      </w:pPr>
      <w:r w:rsidRPr="000E23ED">
        <w:rPr>
          <w:rFonts w:ascii="Times New Roman" w:hAnsi="Times New Roman" w:cs="Times New Roman"/>
          <w:b/>
          <w:bCs/>
          <w:color w:val="000000"/>
          <w:lang w:val="en-US"/>
        </w:rPr>
        <w:t xml:space="preserve">3.2 Relation “when a complaint occurred” and “the product </w:t>
      </w:r>
      <w:proofErr w:type="gramStart"/>
      <w:r w:rsidRPr="000E23ED">
        <w:rPr>
          <w:rFonts w:ascii="Times New Roman" w:hAnsi="Times New Roman" w:cs="Times New Roman"/>
          <w:b/>
          <w:bCs/>
          <w:color w:val="000000"/>
          <w:lang w:val="en-US"/>
        </w:rPr>
        <w:t>life</w:t>
      </w:r>
      <w:proofErr w:type="gramEnd"/>
      <w:r w:rsidRPr="000E23ED">
        <w:rPr>
          <w:rFonts w:ascii="Times New Roman" w:hAnsi="Times New Roman" w:cs="Times New Roman"/>
          <w:b/>
          <w:bCs/>
          <w:color w:val="000000"/>
          <w:lang w:val="en-US"/>
        </w:rPr>
        <w:t>”</w:t>
      </w:r>
    </w:p>
    <w:p w14:paraId="567C78FB" w14:textId="56E7CFE3" w:rsidR="00D67A31" w:rsidRDefault="00BD33B9" w:rsidP="00BD33B9">
      <w:pPr>
        <w:autoSpaceDE w:val="0"/>
        <w:autoSpaceDN w:val="0"/>
        <w:adjustRightInd w:val="0"/>
        <w:spacing w:after="0" w:line="240" w:lineRule="auto"/>
        <w:ind w:firstLineChars="200" w:firstLine="440"/>
        <w:jc w:val="center"/>
        <w:rPr>
          <w:rFonts w:ascii="Times New Roman" w:hAnsi="Times New Roman" w:cs="Times New Roman"/>
          <w:b/>
          <w:bCs/>
          <w:color w:val="000000"/>
          <w:lang w:val="en-US"/>
        </w:rPr>
      </w:pPr>
      <w:r>
        <w:rPr>
          <w:noProof/>
        </w:rPr>
        <w:drawing>
          <wp:inline distT="0" distB="0" distL="0" distR="0" wp14:anchorId="161F1CD9" wp14:editId="793BF2B6">
            <wp:extent cx="3633787" cy="2260045"/>
            <wp:effectExtent l="0" t="0" r="5080" b="6985"/>
            <wp:docPr id="1514609792" name="グラフ 1">
              <a:extLst xmlns:a="http://schemas.openxmlformats.org/drawingml/2006/main">
                <a:ext uri="{FF2B5EF4-FFF2-40B4-BE49-F238E27FC236}">
                  <a16:creationId xmlns:a16="http://schemas.microsoft.com/office/drawing/2014/main" id="{ABB1CA7D-4CA4-AEEF-BB33-01A04C5BED9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18B29874" w14:textId="06A03B62" w:rsidR="00BD33B9" w:rsidRPr="00BD33B9" w:rsidRDefault="00BD33B9" w:rsidP="00BD33B9">
      <w:pPr>
        <w:autoSpaceDE w:val="0"/>
        <w:autoSpaceDN w:val="0"/>
        <w:adjustRightInd w:val="0"/>
        <w:spacing w:after="0" w:line="240" w:lineRule="auto"/>
        <w:ind w:firstLineChars="200" w:firstLine="442"/>
        <w:jc w:val="center"/>
        <w:rPr>
          <w:rFonts w:ascii="Times New Roman" w:eastAsia="ＭＳ 明朝" w:hAnsi="Times New Roman" w:cs="Times New Roman"/>
          <w:b/>
          <w:bCs/>
          <w:color w:val="000000"/>
          <w:lang w:val="en-US" w:eastAsia="ja-JP"/>
        </w:rPr>
      </w:pPr>
      <w:r>
        <w:rPr>
          <w:rFonts w:ascii="Times New Roman" w:eastAsia="ＭＳ 明朝" w:hAnsi="Times New Roman" w:cs="Times New Roman" w:hint="eastAsia"/>
          <w:b/>
          <w:bCs/>
          <w:color w:val="000000"/>
          <w:lang w:val="en-US" w:eastAsia="ja-JP"/>
        </w:rPr>
        <w:t>F</w:t>
      </w:r>
      <w:r>
        <w:rPr>
          <w:rFonts w:ascii="Times New Roman" w:eastAsia="ＭＳ 明朝" w:hAnsi="Times New Roman" w:cs="Times New Roman"/>
          <w:b/>
          <w:bCs/>
          <w:color w:val="000000"/>
          <w:lang w:val="en-US" w:eastAsia="ja-JP"/>
        </w:rPr>
        <w:t xml:space="preserve">igure </w:t>
      </w:r>
      <w:r w:rsidR="00A131C4">
        <w:rPr>
          <w:rFonts w:ascii="Times New Roman" w:eastAsia="ＭＳ 明朝" w:hAnsi="Times New Roman" w:cs="Times New Roman"/>
          <w:b/>
          <w:bCs/>
          <w:color w:val="000000"/>
          <w:lang w:val="en-US" w:eastAsia="ja-JP"/>
        </w:rPr>
        <w:t xml:space="preserve">2 </w:t>
      </w:r>
      <w:r>
        <w:rPr>
          <w:rFonts w:ascii="Times New Roman" w:eastAsia="ＭＳ 明朝" w:hAnsi="Times New Roman" w:cs="Times New Roman"/>
          <w:b/>
          <w:bCs/>
          <w:color w:val="000000"/>
          <w:lang w:val="en-US" w:eastAsia="ja-JP"/>
        </w:rPr>
        <w:t>Materials</w:t>
      </w:r>
      <w:r w:rsidR="00A131C4">
        <w:rPr>
          <w:rFonts w:ascii="Times New Roman" w:eastAsia="ＭＳ 明朝" w:hAnsi="Times New Roman" w:cs="Times New Roman"/>
          <w:b/>
          <w:bCs/>
          <w:color w:val="000000"/>
          <w:lang w:val="en-US" w:eastAsia="ja-JP"/>
        </w:rPr>
        <w:t xml:space="preserve"> where complaints occurred</w:t>
      </w:r>
      <w:r>
        <w:rPr>
          <w:rFonts w:ascii="Times New Roman" w:eastAsia="ＭＳ 明朝" w:hAnsi="Times New Roman" w:cs="Times New Roman"/>
          <w:b/>
          <w:bCs/>
          <w:color w:val="000000"/>
          <w:lang w:val="en-US" w:eastAsia="ja-JP"/>
        </w:rPr>
        <w:t xml:space="preserve"> by Term of </w:t>
      </w:r>
      <w:proofErr w:type="gramStart"/>
      <w:r>
        <w:rPr>
          <w:rFonts w:ascii="Times New Roman" w:eastAsia="ＭＳ 明朝" w:hAnsi="Times New Roman" w:cs="Times New Roman"/>
          <w:b/>
          <w:bCs/>
          <w:color w:val="000000"/>
          <w:lang w:val="en-US" w:eastAsia="ja-JP"/>
        </w:rPr>
        <w:t>use</w:t>
      </w:r>
      <w:proofErr w:type="gramEnd"/>
    </w:p>
    <w:p w14:paraId="1428667C" w14:textId="77777777" w:rsidR="00BD33B9" w:rsidRPr="000E23ED" w:rsidRDefault="00BD33B9" w:rsidP="000E23ED">
      <w:pPr>
        <w:autoSpaceDE w:val="0"/>
        <w:autoSpaceDN w:val="0"/>
        <w:adjustRightInd w:val="0"/>
        <w:spacing w:after="0" w:line="240" w:lineRule="auto"/>
        <w:ind w:firstLineChars="200" w:firstLine="442"/>
        <w:rPr>
          <w:rFonts w:ascii="Times New Roman" w:hAnsi="Times New Roman" w:cs="Times New Roman"/>
          <w:b/>
          <w:bCs/>
          <w:color w:val="000000"/>
          <w:lang w:val="en-US"/>
        </w:rPr>
      </w:pPr>
    </w:p>
    <w:p w14:paraId="74F1A018" w14:textId="4B5096A2" w:rsidR="000E23ED" w:rsidRPr="000E23ED" w:rsidRDefault="000E23ED"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0E23ED">
        <w:rPr>
          <w:rFonts w:ascii="Times New Roman" w:hAnsi="Times New Roman" w:cs="Times New Roman"/>
          <w:color w:val="000000"/>
          <w:lang w:val="en-US"/>
        </w:rPr>
        <w:t xml:space="preserve"> Figure 2 shows the relation between “the </w:t>
      </w:r>
      <w:r w:rsidR="00BD33B9">
        <w:rPr>
          <w:rFonts w:ascii="Times New Roman" w:hAnsi="Times New Roman" w:cs="Times New Roman"/>
          <w:color w:val="000000"/>
          <w:lang w:val="en-US"/>
        </w:rPr>
        <w:t>term</w:t>
      </w:r>
      <w:r w:rsidRPr="000E23ED">
        <w:rPr>
          <w:rFonts w:ascii="Times New Roman" w:hAnsi="Times New Roman" w:cs="Times New Roman"/>
          <w:color w:val="000000"/>
          <w:lang w:val="en-US"/>
        </w:rPr>
        <w:t xml:space="preserve"> of use” and “the number of complaints” by materials. The composition of "leather" decreases over time, while a remarkable point is the huge increase of polyurethane over the third year and after.</w:t>
      </w:r>
    </w:p>
    <w:p w14:paraId="74979FE4" w14:textId="1E44C748" w:rsidR="000E23ED" w:rsidRPr="000E23ED" w:rsidRDefault="006E4FFF"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0E23ED">
        <w:rPr>
          <w:rFonts w:ascii="Times New Roman" w:hAnsi="Times New Roman" w:cs="Times New Roman"/>
          <w:color w:val="000000"/>
          <w:lang w:val="en-US"/>
        </w:rPr>
        <w:t>The</w:t>
      </w:r>
      <w:r w:rsidR="000E23ED" w:rsidRPr="000E23ED">
        <w:rPr>
          <w:rFonts w:ascii="Times New Roman" w:hAnsi="Times New Roman" w:cs="Times New Roman"/>
          <w:color w:val="000000"/>
          <w:lang w:val="en-US"/>
        </w:rPr>
        <w:t xml:space="preserve"> "the duration of use when a complaint occurred" is not the same as the "the end of product life." In my past work experience, most of the complaints are that “the product should still be usable, but it can't be used due to quality problems.</w:t>
      </w:r>
      <w:r w:rsidR="000E23ED" w:rsidRPr="000E23ED">
        <w:rPr>
          <w:rFonts w:ascii="Times New Roman" w:hAnsi="Times New Roman" w:cs="Times New Roman" w:hint="eastAsia"/>
          <w:color w:val="000000"/>
          <w:lang w:val="en-US"/>
        </w:rPr>
        <w:t>”</w:t>
      </w:r>
      <w:r w:rsidR="000E23ED" w:rsidRPr="000E23ED">
        <w:rPr>
          <w:rFonts w:ascii="Times New Roman" w:hAnsi="Times New Roman" w:cs="Times New Roman"/>
          <w:color w:val="000000"/>
          <w:lang w:val="en-US"/>
        </w:rPr>
        <w:t xml:space="preserve"> When the product is finally disposed of, there is no object, </w:t>
      </w:r>
      <w:r w:rsidR="000E23ED" w:rsidRPr="000E23ED">
        <w:rPr>
          <w:rFonts w:ascii="Times New Roman" w:hAnsi="Times New Roman" w:cs="Times New Roman"/>
          <w:color w:val="000000"/>
          <w:lang w:val="en-US"/>
        </w:rPr>
        <w:lastRenderedPageBreak/>
        <w:t xml:space="preserve">so no claims can be made. Therefore, it can be estimated that the “the time when complaints about a product stop coming” is the “the end of </w:t>
      </w:r>
      <w:r w:rsidRPr="000E23ED">
        <w:rPr>
          <w:rFonts w:ascii="Times New Roman" w:hAnsi="Times New Roman" w:cs="Times New Roman"/>
          <w:color w:val="000000"/>
          <w:lang w:val="en-US"/>
        </w:rPr>
        <w:t>product life</w:t>
      </w:r>
      <w:r w:rsidR="000E23ED" w:rsidRPr="000E23ED">
        <w:rPr>
          <w:rFonts w:ascii="Times New Roman" w:hAnsi="Times New Roman" w:cs="Times New Roman"/>
          <w:color w:val="000000"/>
          <w:lang w:val="en-US"/>
        </w:rPr>
        <w:t>.”</w:t>
      </w:r>
    </w:p>
    <w:p w14:paraId="77DDF2AC" w14:textId="77A76CA9" w:rsidR="000E23ED" w:rsidRPr="000E23ED" w:rsidRDefault="000E23ED"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0E23ED">
        <w:rPr>
          <w:rFonts w:ascii="Times New Roman" w:hAnsi="Times New Roman" w:cs="Times New Roman"/>
          <w:color w:val="000000"/>
          <w:lang w:val="en-US"/>
        </w:rPr>
        <w:t xml:space="preserve"> </w:t>
      </w:r>
      <w:r w:rsidR="006E4FFF" w:rsidRPr="000E23ED">
        <w:rPr>
          <w:rFonts w:ascii="Times New Roman" w:hAnsi="Times New Roman" w:cs="Times New Roman"/>
          <w:color w:val="000000"/>
          <w:lang w:val="en-US"/>
        </w:rPr>
        <w:t>To</w:t>
      </w:r>
      <w:r w:rsidRPr="000E23ED">
        <w:rPr>
          <w:rFonts w:ascii="Times New Roman" w:hAnsi="Times New Roman" w:cs="Times New Roman"/>
          <w:color w:val="000000"/>
          <w:lang w:val="en-US"/>
        </w:rPr>
        <w:t xml:space="preserve"> extend the life of the product, it is extremely important to resolve problems that occur due to aging, in other words, "the product should still be usable, but it can't be used due to quality problems." </w:t>
      </w:r>
    </w:p>
    <w:p w14:paraId="4E007CC7" w14:textId="56E6D346" w:rsidR="000E23ED" w:rsidRDefault="000E23ED"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0E23ED">
        <w:rPr>
          <w:rFonts w:ascii="Times New Roman" w:hAnsi="Times New Roman" w:cs="Times New Roman"/>
          <w:color w:val="000000"/>
          <w:lang w:val="en-US"/>
        </w:rPr>
        <w:t>In this report, we define "the time when complaints stop coming" as "the end of product life."</w:t>
      </w:r>
    </w:p>
    <w:p w14:paraId="6B6F9463" w14:textId="77777777" w:rsidR="000E23ED" w:rsidRDefault="000E23ED"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p>
    <w:p w14:paraId="0F10C7FD" w14:textId="5D3229A9" w:rsidR="000E23ED" w:rsidRDefault="000E23ED" w:rsidP="000E23ED">
      <w:pPr>
        <w:autoSpaceDE w:val="0"/>
        <w:autoSpaceDN w:val="0"/>
        <w:adjustRightInd w:val="0"/>
        <w:spacing w:after="0" w:line="240" w:lineRule="auto"/>
        <w:ind w:firstLineChars="200" w:firstLine="442"/>
        <w:rPr>
          <w:rFonts w:ascii="Times New Roman" w:hAnsi="Times New Roman" w:cs="Times New Roman"/>
          <w:b/>
          <w:bCs/>
          <w:color w:val="000000"/>
          <w:lang w:val="en-US"/>
        </w:rPr>
      </w:pPr>
      <w:r w:rsidRPr="000E23ED">
        <w:rPr>
          <w:rFonts w:ascii="Times New Roman" w:hAnsi="Times New Roman" w:cs="Times New Roman"/>
          <w:b/>
          <w:bCs/>
          <w:color w:val="000000"/>
          <w:lang w:val="en-US"/>
        </w:rPr>
        <w:t>3.3 Definition of “the long-term use”</w:t>
      </w:r>
    </w:p>
    <w:p w14:paraId="610FD9D5" w14:textId="4D9B74A8" w:rsidR="00B207BF" w:rsidRDefault="00B207BF" w:rsidP="00B207BF">
      <w:pPr>
        <w:autoSpaceDE w:val="0"/>
        <w:autoSpaceDN w:val="0"/>
        <w:adjustRightInd w:val="0"/>
        <w:spacing w:after="0" w:line="240" w:lineRule="auto"/>
        <w:ind w:firstLineChars="200" w:firstLine="440"/>
        <w:jc w:val="center"/>
        <w:rPr>
          <w:rFonts w:ascii="Times New Roman" w:hAnsi="Times New Roman" w:cs="Times New Roman"/>
          <w:b/>
          <w:bCs/>
          <w:color w:val="000000"/>
          <w:lang w:val="en-US"/>
        </w:rPr>
      </w:pPr>
      <w:r>
        <w:rPr>
          <w:noProof/>
        </w:rPr>
        <w:drawing>
          <wp:inline distT="0" distB="0" distL="0" distR="0" wp14:anchorId="39B7ABAB" wp14:editId="236DF71D">
            <wp:extent cx="2628000" cy="1620000"/>
            <wp:effectExtent l="0" t="0" r="1270" b="0"/>
            <wp:docPr id="887576359" name="グラフ 1">
              <a:extLst xmlns:a="http://schemas.openxmlformats.org/drawingml/2006/main">
                <a:ext uri="{FF2B5EF4-FFF2-40B4-BE49-F238E27FC236}">
                  <a16:creationId xmlns:a16="http://schemas.microsoft.com/office/drawing/2014/main" id="{D458364F-D2F2-9419-FE59-9B1C69E8B9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Pr>
          <w:noProof/>
        </w:rPr>
        <w:drawing>
          <wp:inline distT="0" distB="0" distL="0" distR="0" wp14:anchorId="032725FF" wp14:editId="468F7806">
            <wp:extent cx="2628000" cy="1620000"/>
            <wp:effectExtent l="0" t="0" r="1270" b="0"/>
            <wp:docPr id="1311812377" name="グラフ 1">
              <a:extLst xmlns:a="http://schemas.openxmlformats.org/drawingml/2006/main">
                <a:ext uri="{FF2B5EF4-FFF2-40B4-BE49-F238E27FC236}">
                  <a16:creationId xmlns:a16="http://schemas.microsoft.com/office/drawing/2014/main" id="{3296F156-A617-EA48-83C1-D78576E73E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8165F9F" w14:textId="02A5304E" w:rsidR="00A131C4" w:rsidRPr="00A131C4" w:rsidRDefault="00A131C4" w:rsidP="00A131C4">
      <w:pPr>
        <w:autoSpaceDE w:val="0"/>
        <w:autoSpaceDN w:val="0"/>
        <w:adjustRightInd w:val="0"/>
        <w:spacing w:after="0" w:line="240" w:lineRule="auto"/>
        <w:ind w:firstLineChars="200" w:firstLine="442"/>
        <w:jc w:val="center"/>
        <w:rPr>
          <w:rFonts w:ascii="Times New Roman" w:eastAsia="ＭＳ 明朝" w:hAnsi="Times New Roman" w:cs="Times New Roman"/>
          <w:b/>
          <w:bCs/>
          <w:color w:val="000000"/>
          <w:lang w:val="en-US" w:eastAsia="ja-JP"/>
        </w:rPr>
      </w:pPr>
      <w:r>
        <w:rPr>
          <w:rFonts w:ascii="Times New Roman" w:eastAsia="ＭＳ 明朝" w:hAnsi="Times New Roman" w:cs="Times New Roman" w:hint="eastAsia"/>
          <w:b/>
          <w:bCs/>
          <w:color w:val="000000"/>
          <w:lang w:val="en-US" w:eastAsia="ja-JP"/>
        </w:rPr>
        <w:t>F</w:t>
      </w:r>
      <w:r>
        <w:rPr>
          <w:rFonts w:ascii="Times New Roman" w:eastAsia="ＭＳ 明朝" w:hAnsi="Times New Roman" w:cs="Times New Roman"/>
          <w:b/>
          <w:bCs/>
          <w:color w:val="000000"/>
          <w:lang w:val="en-US" w:eastAsia="ja-JP"/>
        </w:rPr>
        <w:t xml:space="preserve">igure 3 Term of use when complaints </w:t>
      </w:r>
      <w:proofErr w:type="gramStart"/>
      <w:r>
        <w:rPr>
          <w:rFonts w:ascii="Times New Roman" w:eastAsia="ＭＳ 明朝" w:hAnsi="Times New Roman" w:cs="Times New Roman"/>
          <w:b/>
          <w:bCs/>
          <w:color w:val="000000"/>
          <w:lang w:val="en-US" w:eastAsia="ja-JP"/>
        </w:rPr>
        <w:t>occurred</w:t>
      </w:r>
      <w:proofErr w:type="gramEnd"/>
    </w:p>
    <w:p w14:paraId="1D6FD54A" w14:textId="77777777" w:rsidR="00A131C4" w:rsidRPr="000E23ED" w:rsidRDefault="00A131C4" w:rsidP="00A131C4">
      <w:pPr>
        <w:autoSpaceDE w:val="0"/>
        <w:autoSpaceDN w:val="0"/>
        <w:adjustRightInd w:val="0"/>
        <w:spacing w:after="0" w:line="240" w:lineRule="auto"/>
        <w:ind w:firstLineChars="200" w:firstLine="442"/>
        <w:rPr>
          <w:rFonts w:ascii="Times New Roman" w:hAnsi="Times New Roman" w:cs="Times New Roman"/>
          <w:b/>
          <w:bCs/>
          <w:color w:val="000000"/>
          <w:lang w:val="en-US"/>
        </w:rPr>
      </w:pPr>
    </w:p>
    <w:p w14:paraId="11D4EAC9" w14:textId="700F7500" w:rsidR="000E23ED" w:rsidRPr="000E23ED" w:rsidRDefault="000E23ED" w:rsidP="000E23ED">
      <w:pPr>
        <w:autoSpaceDE w:val="0"/>
        <w:autoSpaceDN w:val="0"/>
        <w:adjustRightInd w:val="0"/>
        <w:spacing w:after="0" w:line="240" w:lineRule="auto"/>
        <w:ind w:leftChars="300" w:left="660" w:firstLineChars="100" w:firstLine="220"/>
        <w:rPr>
          <w:rFonts w:ascii="Times New Roman" w:hAnsi="Times New Roman" w:cs="Times New Roman"/>
          <w:color w:val="000000"/>
          <w:lang w:val="en-US"/>
        </w:rPr>
      </w:pPr>
      <w:r w:rsidRPr="000E23ED">
        <w:rPr>
          <w:rFonts w:ascii="Times New Roman" w:hAnsi="Times New Roman" w:cs="Times New Roman" w:hint="eastAsia"/>
          <w:color w:val="000000"/>
          <w:lang w:val="en-US"/>
        </w:rPr>
        <w:t>Figure 3 shows the composition of "</w:t>
      </w:r>
      <w:r w:rsidR="00A131C4">
        <w:rPr>
          <w:rFonts w:ascii="Times New Roman" w:hAnsi="Times New Roman" w:cs="Times New Roman"/>
          <w:color w:val="000000"/>
          <w:lang w:val="en-US"/>
        </w:rPr>
        <w:t>Term</w:t>
      </w:r>
      <w:r w:rsidRPr="000E23ED">
        <w:rPr>
          <w:rFonts w:ascii="Times New Roman" w:hAnsi="Times New Roman" w:cs="Times New Roman" w:hint="eastAsia"/>
          <w:color w:val="000000"/>
          <w:lang w:val="en-US"/>
        </w:rPr>
        <w:t xml:space="preserve"> of use when a complaint occurred" by items. Over half of complaints occur within a year. In this report, it is interested in the complaints about aged items.</w:t>
      </w:r>
    </w:p>
    <w:p w14:paraId="303FEB80" w14:textId="10BDA81B" w:rsidR="000E23ED" w:rsidRPr="000E23ED" w:rsidRDefault="000E23ED"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0E23ED">
        <w:rPr>
          <w:rFonts w:ascii="Times New Roman" w:hAnsi="Times New Roman" w:cs="Times New Roman"/>
          <w:color w:val="000000"/>
          <w:lang w:val="en-US"/>
        </w:rPr>
        <w:t>By item, complaints about most women's shoes and leather accessories occurred within 1 to 2 years after purchase. Also, complaints about Bags and men's shoes tend to occur more than three years after purchase.</w:t>
      </w:r>
    </w:p>
    <w:p w14:paraId="1F3A561C" w14:textId="5AE30E11" w:rsidR="000E23ED" w:rsidRPr="000E23ED" w:rsidRDefault="000E23ED"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0E23ED">
        <w:rPr>
          <w:rFonts w:ascii="Times New Roman" w:hAnsi="Times New Roman" w:cs="Times New Roman"/>
          <w:color w:val="000000"/>
          <w:lang w:val="en-US"/>
        </w:rPr>
        <w:t xml:space="preserve">In this report, we define "the long-term use" as "more than 3 years after purchase" regardless of the </w:t>
      </w:r>
      <w:r w:rsidR="006E4FFF" w:rsidRPr="000E23ED">
        <w:rPr>
          <w:rFonts w:ascii="Times New Roman" w:hAnsi="Times New Roman" w:cs="Times New Roman"/>
          <w:color w:val="000000"/>
          <w:lang w:val="en-US"/>
        </w:rPr>
        <w:t>item and</w:t>
      </w:r>
      <w:r w:rsidRPr="000E23ED">
        <w:rPr>
          <w:rFonts w:ascii="Times New Roman" w:hAnsi="Times New Roman" w:cs="Times New Roman"/>
          <w:color w:val="000000"/>
          <w:lang w:val="en-US"/>
        </w:rPr>
        <w:t xml:space="preserve"> aim to clarify the problem of "a product that is still usable but has a quality problem."</w:t>
      </w:r>
    </w:p>
    <w:p w14:paraId="34C08E2F" w14:textId="0B023368" w:rsidR="000E23ED" w:rsidRDefault="000E23ED"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0E23ED">
        <w:rPr>
          <w:rFonts w:ascii="Times New Roman" w:hAnsi="Times New Roman" w:cs="Times New Roman"/>
          <w:color w:val="000000"/>
          <w:lang w:val="en-US"/>
        </w:rPr>
        <w:t xml:space="preserve"> In the following discussions, based on the precondition that the </w:t>
      </w:r>
      <w:r w:rsidR="006E4FFF" w:rsidRPr="000E23ED">
        <w:rPr>
          <w:rFonts w:ascii="Times New Roman" w:hAnsi="Times New Roman" w:cs="Times New Roman"/>
          <w:color w:val="000000"/>
          <w:lang w:val="en-US"/>
        </w:rPr>
        <w:t>number</w:t>
      </w:r>
      <w:r w:rsidRPr="000E23ED">
        <w:rPr>
          <w:rFonts w:ascii="Times New Roman" w:hAnsi="Times New Roman" w:cs="Times New Roman"/>
          <w:color w:val="000000"/>
          <w:lang w:val="en-US"/>
        </w:rPr>
        <w:t xml:space="preserve"> of complaints within one year after purchase is most large, we </w:t>
      </w:r>
      <w:r w:rsidR="006E4FFF" w:rsidRPr="000E23ED">
        <w:rPr>
          <w:rFonts w:ascii="Times New Roman" w:hAnsi="Times New Roman" w:cs="Times New Roman"/>
          <w:color w:val="000000"/>
          <w:lang w:val="en-US"/>
        </w:rPr>
        <w:t>discuss the</w:t>
      </w:r>
      <w:r w:rsidRPr="000E23ED">
        <w:rPr>
          <w:rFonts w:ascii="Times New Roman" w:hAnsi="Times New Roman" w:cs="Times New Roman"/>
          <w:color w:val="000000"/>
          <w:lang w:val="en-US"/>
        </w:rPr>
        <w:t xml:space="preserve"> comparison ratio between "within three years after purchase" and "more than three years after purchase."</w:t>
      </w:r>
    </w:p>
    <w:p w14:paraId="68E0105A" w14:textId="77777777" w:rsidR="000E23ED" w:rsidRDefault="000E23ED"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p>
    <w:p w14:paraId="5E74CCBC" w14:textId="7CC089BC" w:rsidR="000E23ED" w:rsidRDefault="000E23ED" w:rsidP="000E23ED">
      <w:pPr>
        <w:autoSpaceDE w:val="0"/>
        <w:autoSpaceDN w:val="0"/>
        <w:adjustRightInd w:val="0"/>
        <w:spacing w:after="0" w:line="240" w:lineRule="auto"/>
        <w:ind w:firstLineChars="200" w:firstLine="442"/>
        <w:rPr>
          <w:rFonts w:ascii="Times New Roman" w:hAnsi="Times New Roman" w:cs="Times New Roman"/>
          <w:b/>
          <w:bCs/>
          <w:color w:val="000000"/>
          <w:lang w:val="en-US"/>
        </w:rPr>
      </w:pPr>
      <w:r w:rsidRPr="000E23ED">
        <w:rPr>
          <w:rFonts w:ascii="Times New Roman" w:hAnsi="Times New Roman" w:cs="Times New Roman"/>
          <w:b/>
          <w:bCs/>
          <w:color w:val="000000"/>
          <w:lang w:val="en-US"/>
        </w:rPr>
        <w:t>3.4 Women’s shoes</w:t>
      </w:r>
    </w:p>
    <w:p w14:paraId="33D3A187" w14:textId="688F2FB8" w:rsidR="00D67A31" w:rsidRDefault="00A131C4" w:rsidP="00A131C4">
      <w:pPr>
        <w:autoSpaceDE w:val="0"/>
        <w:autoSpaceDN w:val="0"/>
        <w:adjustRightInd w:val="0"/>
        <w:spacing w:after="0" w:line="240" w:lineRule="auto"/>
        <w:ind w:firstLineChars="200" w:firstLine="440"/>
        <w:jc w:val="center"/>
        <w:rPr>
          <w:rFonts w:ascii="Times New Roman" w:hAnsi="Times New Roman" w:cs="Times New Roman"/>
          <w:b/>
          <w:bCs/>
          <w:color w:val="000000"/>
          <w:lang w:val="en-US"/>
        </w:rPr>
      </w:pPr>
      <w:r>
        <w:rPr>
          <w:noProof/>
        </w:rPr>
        <w:drawing>
          <wp:inline distT="0" distB="0" distL="0" distR="0" wp14:anchorId="58269436" wp14:editId="609D5452">
            <wp:extent cx="3676650" cy="2268852"/>
            <wp:effectExtent l="0" t="0" r="0" b="0"/>
            <wp:docPr id="1840579479" name="グラフ 1">
              <a:extLst xmlns:a="http://schemas.openxmlformats.org/drawingml/2006/main">
                <a:ext uri="{FF2B5EF4-FFF2-40B4-BE49-F238E27FC236}">
                  <a16:creationId xmlns:a16="http://schemas.microsoft.com/office/drawing/2014/main" id="{A6F7BFCE-D99D-6629-5E16-AB1BEBDB07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C824FD0" w14:textId="6BC8D8B3" w:rsidR="00A131C4" w:rsidRPr="00A131C4" w:rsidRDefault="00A131C4" w:rsidP="00A131C4">
      <w:pPr>
        <w:autoSpaceDE w:val="0"/>
        <w:autoSpaceDN w:val="0"/>
        <w:adjustRightInd w:val="0"/>
        <w:spacing w:after="0" w:line="240" w:lineRule="auto"/>
        <w:ind w:firstLineChars="200" w:firstLine="442"/>
        <w:jc w:val="center"/>
        <w:rPr>
          <w:rFonts w:ascii="Times New Roman" w:eastAsia="ＭＳ 明朝" w:hAnsi="Times New Roman" w:cs="Times New Roman"/>
          <w:b/>
          <w:bCs/>
          <w:color w:val="000000"/>
          <w:lang w:val="en-US" w:eastAsia="ja-JP"/>
        </w:rPr>
      </w:pPr>
      <w:r>
        <w:rPr>
          <w:rFonts w:ascii="Times New Roman" w:eastAsia="ＭＳ 明朝" w:hAnsi="Times New Roman" w:cs="Times New Roman" w:hint="eastAsia"/>
          <w:b/>
          <w:bCs/>
          <w:color w:val="000000"/>
          <w:lang w:val="en-US" w:eastAsia="ja-JP"/>
        </w:rPr>
        <w:t>F</w:t>
      </w:r>
      <w:r>
        <w:rPr>
          <w:rFonts w:ascii="Times New Roman" w:eastAsia="ＭＳ 明朝" w:hAnsi="Times New Roman" w:cs="Times New Roman"/>
          <w:b/>
          <w:bCs/>
          <w:color w:val="000000"/>
          <w:lang w:val="en-US" w:eastAsia="ja-JP"/>
        </w:rPr>
        <w:t xml:space="preserve">igure 4 Materials where complaints </w:t>
      </w:r>
      <w:proofErr w:type="gramStart"/>
      <w:r w:rsidR="00C42907">
        <w:rPr>
          <w:rFonts w:ascii="Times New Roman" w:eastAsia="ＭＳ 明朝" w:hAnsi="Times New Roman" w:cs="Times New Roman"/>
          <w:b/>
          <w:bCs/>
          <w:color w:val="000000"/>
          <w:lang w:val="en-US" w:eastAsia="ja-JP"/>
        </w:rPr>
        <w:t>occurred</w:t>
      </w:r>
      <w:proofErr w:type="gramEnd"/>
    </w:p>
    <w:p w14:paraId="085BD189" w14:textId="77777777" w:rsidR="00A131C4" w:rsidRPr="000E23ED" w:rsidRDefault="00A131C4" w:rsidP="00A131C4">
      <w:pPr>
        <w:autoSpaceDE w:val="0"/>
        <w:autoSpaceDN w:val="0"/>
        <w:adjustRightInd w:val="0"/>
        <w:spacing w:after="0" w:line="240" w:lineRule="auto"/>
        <w:ind w:firstLineChars="200" w:firstLine="442"/>
        <w:rPr>
          <w:rFonts w:ascii="Times New Roman" w:hAnsi="Times New Roman" w:cs="Times New Roman"/>
          <w:b/>
          <w:bCs/>
          <w:color w:val="000000"/>
          <w:lang w:val="en-US"/>
        </w:rPr>
      </w:pPr>
    </w:p>
    <w:p w14:paraId="1C0C2C38" w14:textId="19AA66E7" w:rsidR="000E23ED" w:rsidRDefault="000E23ED"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0E23ED">
        <w:rPr>
          <w:rFonts w:ascii="Times New Roman" w:hAnsi="Times New Roman" w:cs="Times New Roman"/>
          <w:color w:val="000000"/>
          <w:lang w:val="en-US"/>
        </w:rPr>
        <w:t>Figure 4 shows the composition of materials used in points where complaints were received about women's shoes. In particular, the significant strength loss due to hydrolysis of polyurethane increases significantly after three years or more have passed since purchase. On the other hand, the number of complaints about “leather" tend to decrease over the years, and although there are still a small number of complaints received 5 years or more after purchase, it does not go to zero 10 years after purchase. In other words, it shows that leather is used longer than other materials.</w:t>
      </w:r>
    </w:p>
    <w:p w14:paraId="6BC29482" w14:textId="77777777" w:rsidR="000E23ED" w:rsidRDefault="000E23ED"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p>
    <w:p w14:paraId="0F70B1F8" w14:textId="5A5323E1" w:rsidR="00A131C4" w:rsidRDefault="00064212" w:rsidP="002048E3">
      <w:pPr>
        <w:autoSpaceDE w:val="0"/>
        <w:autoSpaceDN w:val="0"/>
        <w:adjustRightInd w:val="0"/>
        <w:spacing w:after="0" w:line="240" w:lineRule="auto"/>
        <w:ind w:leftChars="300" w:left="660" w:firstLineChars="50" w:firstLine="110"/>
        <w:jc w:val="center"/>
        <w:rPr>
          <w:noProof/>
        </w:rPr>
      </w:pPr>
      <w:r>
        <w:rPr>
          <w:noProof/>
        </w:rPr>
        <w:drawing>
          <wp:inline distT="0" distB="0" distL="0" distR="0" wp14:anchorId="6C398168" wp14:editId="0DBE9AF6">
            <wp:extent cx="2639412" cy="1628775"/>
            <wp:effectExtent l="0" t="0" r="8890" b="0"/>
            <wp:docPr id="127548282" name="グラフ 1">
              <a:extLst xmlns:a="http://schemas.openxmlformats.org/drawingml/2006/main">
                <a:ext uri="{FF2B5EF4-FFF2-40B4-BE49-F238E27FC236}">
                  <a16:creationId xmlns:a16="http://schemas.microsoft.com/office/drawing/2014/main" id="{3271829A-DF50-BC84-F19A-D0A1232F37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002048E3">
        <w:rPr>
          <w:noProof/>
        </w:rPr>
        <w:drawing>
          <wp:inline distT="0" distB="0" distL="0" distR="0" wp14:anchorId="64C592B2" wp14:editId="644B7EF2">
            <wp:extent cx="2676525" cy="1651677"/>
            <wp:effectExtent l="0" t="0" r="0" b="5715"/>
            <wp:docPr id="1369136243" name="グラフ 1">
              <a:extLst xmlns:a="http://schemas.openxmlformats.org/drawingml/2006/main">
                <a:ext uri="{FF2B5EF4-FFF2-40B4-BE49-F238E27FC236}">
                  <a16:creationId xmlns:a16="http://schemas.microsoft.com/office/drawing/2014/main" id="{946174E8-B15A-6441-1FC5-BB63DC9A47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2436988" w14:textId="40E4323B" w:rsidR="002048E3" w:rsidRDefault="002048E3" w:rsidP="002048E3">
      <w:pPr>
        <w:autoSpaceDE w:val="0"/>
        <w:autoSpaceDN w:val="0"/>
        <w:adjustRightInd w:val="0"/>
        <w:spacing w:after="0" w:line="240" w:lineRule="auto"/>
        <w:ind w:leftChars="300" w:left="660" w:firstLineChars="50" w:firstLine="110"/>
        <w:jc w:val="center"/>
        <w:rPr>
          <w:rFonts w:ascii="Times New Roman" w:hAnsi="Times New Roman" w:cs="Times New Roman"/>
          <w:color w:val="000000"/>
          <w:lang w:val="en-US"/>
        </w:rPr>
      </w:pPr>
      <w:r>
        <w:rPr>
          <w:noProof/>
        </w:rPr>
        <w:drawing>
          <wp:inline distT="0" distB="0" distL="0" distR="0" wp14:anchorId="0D67D5A8" wp14:editId="3F51FC5E">
            <wp:extent cx="2639060" cy="1909762"/>
            <wp:effectExtent l="0" t="0" r="8890" b="0"/>
            <wp:docPr id="945249895" name="グラフ 1">
              <a:extLst xmlns:a="http://schemas.openxmlformats.org/drawingml/2006/main">
                <a:ext uri="{FF2B5EF4-FFF2-40B4-BE49-F238E27FC236}">
                  <a16:creationId xmlns:a16="http://schemas.microsoft.com/office/drawing/2014/main" id="{177DD6EA-83CF-0411-3410-6B7EA49E1F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F747322" w14:textId="698EFFEB" w:rsidR="002048E3" w:rsidRPr="002048E3" w:rsidRDefault="002048E3" w:rsidP="002048E3">
      <w:pPr>
        <w:autoSpaceDE w:val="0"/>
        <w:autoSpaceDN w:val="0"/>
        <w:adjustRightInd w:val="0"/>
        <w:spacing w:after="0" w:line="240" w:lineRule="auto"/>
        <w:ind w:leftChars="300" w:left="660" w:firstLineChars="50" w:firstLine="110"/>
        <w:jc w:val="center"/>
        <w:rPr>
          <w:rFonts w:ascii="Times New Roman" w:eastAsia="ＭＳ 明朝" w:hAnsi="Times New Roman" w:cs="Times New Roman"/>
          <w:b/>
          <w:bCs/>
          <w:color w:val="000000"/>
          <w:lang w:val="en-US" w:eastAsia="ja-JP"/>
        </w:rPr>
      </w:pPr>
      <w:r w:rsidRPr="002048E3">
        <w:rPr>
          <w:rFonts w:ascii="Times New Roman" w:eastAsia="ＭＳ 明朝" w:hAnsi="Times New Roman" w:cs="Times New Roman" w:hint="eastAsia"/>
          <w:b/>
          <w:bCs/>
          <w:color w:val="000000"/>
          <w:lang w:val="en-US" w:eastAsia="ja-JP"/>
        </w:rPr>
        <w:t>F</w:t>
      </w:r>
      <w:r w:rsidRPr="002048E3">
        <w:rPr>
          <w:rFonts w:ascii="Times New Roman" w:eastAsia="ＭＳ 明朝" w:hAnsi="Times New Roman" w:cs="Times New Roman"/>
          <w:b/>
          <w:bCs/>
          <w:color w:val="000000"/>
          <w:lang w:val="en-US" w:eastAsia="ja-JP"/>
        </w:rPr>
        <w:t>igure 5 Component of Complains by Materials</w:t>
      </w:r>
    </w:p>
    <w:p w14:paraId="428F67B9" w14:textId="77777777" w:rsidR="00A131C4" w:rsidRDefault="00A131C4"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p>
    <w:p w14:paraId="4259311D" w14:textId="77777777" w:rsidR="00D67A31" w:rsidRP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D67A31">
        <w:rPr>
          <w:rFonts w:ascii="Times New Roman" w:hAnsi="Times New Roman" w:cs="Times New Roman"/>
          <w:color w:val="000000"/>
          <w:lang w:val="en-US"/>
        </w:rPr>
        <w:t>Figure 5 shows the details of complaints by material. "Leather" shoes have discoloration, peeling of adhesion of upper and outsole, and cracks. "Synthetic" shoes tend to crack and peel in the upper and outsole.</w:t>
      </w:r>
    </w:p>
    <w:p w14:paraId="63D0F9F9" w14:textId="34ED9643" w:rsidR="000E23ED"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D67A31">
        <w:rPr>
          <w:rFonts w:ascii="Times New Roman" w:hAnsi="Times New Roman" w:cs="Times New Roman"/>
          <w:color w:val="000000"/>
          <w:lang w:val="en-US"/>
        </w:rPr>
        <w:t>The biggest problem is cracks and cracks in the "polyurethane" outsole. Since this report discusses leather, we will not go into details, but polyurethane tends to be hydrolyzed and softened by the influence of moisture in the air in the hot and humid climate typical of Asian regions such as Japan. As for the unavoidable characteristics of the material, complaints about hydrolyzed polyurethane are often dismissed as deterioration over time rather than as a defective product. Because this problem occurs after 3 to 5 years have passed since manufacture regardless of whether it is used or not, there are many cases where products are stored at home unused for some reason, or products that have been in stock for a long time in stores.</w:t>
      </w:r>
    </w:p>
    <w:p w14:paraId="600AFA7D" w14:textId="77777777" w:rsidR="000E23ED" w:rsidRDefault="000E23ED"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p>
    <w:p w14:paraId="359E4D8F" w14:textId="402FF7B1" w:rsidR="002048E3" w:rsidRDefault="002048E3" w:rsidP="002048E3">
      <w:pPr>
        <w:autoSpaceDE w:val="0"/>
        <w:autoSpaceDN w:val="0"/>
        <w:adjustRightInd w:val="0"/>
        <w:spacing w:after="0" w:line="240" w:lineRule="auto"/>
        <w:ind w:leftChars="300" w:left="660" w:firstLineChars="50" w:firstLine="110"/>
        <w:jc w:val="center"/>
        <w:rPr>
          <w:rFonts w:ascii="Times New Roman" w:hAnsi="Times New Roman" w:cs="Times New Roman"/>
          <w:color w:val="000000"/>
          <w:lang w:val="en-US"/>
        </w:rPr>
      </w:pPr>
      <w:r>
        <w:rPr>
          <w:noProof/>
        </w:rPr>
        <w:drawing>
          <wp:inline distT="0" distB="0" distL="0" distR="0" wp14:anchorId="0B3E1620" wp14:editId="67E36E6A">
            <wp:extent cx="3238500" cy="1993900"/>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238500" cy="1993900"/>
                    </a:xfrm>
                    <a:prstGeom prst="rect">
                      <a:avLst/>
                    </a:prstGeom>
                  </pic:spPr>
                </pic:pic>
              </a:graphicData>
            </a:graphic>
          </wp:inline>
        </w:drawing>
      </w:r>
    </w:p>
    <w:p w14:paraId="75301AE0" w14:textId="3C9E06E6" w:rsidR="002048E3" w:rsidRPr="002048E3" w:rsidRDefault="002048E3" w:rsidP="002048E3">
      <w:pPr>
        <w:autoSpaceDE w:val="0"/>
        <w:autoSpaceDN w:val="0"/>
        <w:adjustRightInd w:val="0"/>
        <w:spacing w:after="0" w:line="240" w:lineRule="auto"/>
        <w:ind w:leftChars="300" w:left="660" w:firstLineChars="50" w:firstLine="110"/>
        <w:jc w:val="center"/>
        <w:rPr>
          <w:rFonts w:ascii="Times New Roman" w:eastAsia="ＭＳ 明朝" w:hAnsi="Times New Roman" w:cs="Times New Roman"/>
          <w:b/>
          <w:bCs/>
          <w:color w:val="000000"/>
          <w:lang w:val="en-US" w:eastAsia="ja-JP"/>
        </w:rPr>
      </w:pPr>
      <w:r w:rsidRPr="002048E3">
        <w:rPr>
          <w:rFonts w:ascii="Times New Roman" w:eastAsia="ＭＳ 明朝" w:hAnsi="Times New Roman" w:cs="Times New Roman" w:hint="eastAsia"/>
          <w:b/>
          <w:bCs/>
          <w:color w:val="000000"/>
          <w:lang w:val="en-US" w:eastAsia="ja-JP"/>
        </w:rPr>
        <w:t>F</w:t>
      </w:r>
      <w:r w:rsidRPr="002048E3">
        <w:rPr>
          <w:rFonts w:ascii="Times New Roman" w:eastAsia="ＭＳ 明朝" w:hAnsi="Times New Roman" w:cs="Times New Roman"/>
          <w:b/>
          <w:bCs/>
          <w:color w:val="000000"/>
          <w:lang w:val="en-US" w:eastAsia="ja-JP"/>
        </w:rPr>
        <w:t>igure 6 Case Study of Polyurethane Outsole Broken</w:t>
      </w:r>
    </w:p>
    <w:p w14:paraId="42D1234C" w14:textId="77777777" w:rsidR="002048E3" w:rsidRDefault="002048E3"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p>
    <w:p w14:paraId="4494CAC4" w14:textId="25420A2D" w:rsidR="00D67A31" w:rsidRDefault="00D67A31"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D67A31">
        <w:rPr>
          <w:rFonts w:ascii="Times New Roman" w:hAnsi="Times New Roman" w:cs="Times New Roman"/>
          <w:color w:val="000000"/>
          <w:lang w:val="en-US"/>
        </w:rPr>
        <w:t xml:space="preserve">Finally, Figure 6 shows an example of cracks in the outsole made of polyurethane. The complaint was: "I bought the shoes over four years ago. I wore it once or twice, but it was hard to wear, so I </w:t>
      </w:r>
      <w:r w:rsidRPr="00D67A31">
        <w:rPr>
          <w:rFonts w:ascii="Times New Roman" w:hAnsi="Times New Roman" w:cs="Times New Roman"/>
          <w:color w:val="000000"/>
          <w:lang w:val="en-US"/>
        </w:rPr>
        <w:lastRenderedPageBreak/>
        <w:t>kept them in the box.</w:t>
      </w:r>
      <w:r w:rsidR="006E4FFF">
        <w:rPr>
          <w:rFonts w:ascii="Times New Roman" w:hAnsi="Times New Roman" w:cs="Times New Roman"/>
          <w:color w:val="000000"/>
          <w:lang w:val="en-US"/>
        </w:rPr>
        <w:t xml:space="preserve"> </w:t>
      </w:r>
      <w:r w:rsidRPr="00D67A31">
        <w:rPr>
          <w:rFonts w:ascii="Times New Roman" w:hAnsi="Times New Roman" w:cs="Times New Roman"/>
          <w:color w:val="000000"/>
          <w:lang w:val="en-US"/>
        </w:rPr>
        <w:t>When my grandson tried it on recently, the outsole of it came off." This is thought to be due to the polyurethane deteriorating over time while it was stored in a box at home.</w:t>
      </w:r>
    </w:p>
    <w:p w14:paraId="31CEF20A" w14:textId="77777777" w:rsidR="000E23ED" w:rsidRDefault="000E23ED"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p>
    <w:p w14:paraId="1B1AA2CA" w14:textId="72EA81B3" w:rsidR="00D67A31" w:rsidRDefault="00D67A31" w:rsidP="00D67A31">
      <w:pPr>
        <w:autoSpaceDE w:val="0"/>
        <w:autoSpaceDN w:val="0"/>
        <w:adjustRightInd w:val="0"/>
        <w:spacing w:after="0" w:line="240" w:lineRule="auto"/>
        <w:ind w:firstLineChars="200" w:firstLine="442"/>
        <w:rPr>
          <w:rFonts w:ascii="Times New Roman" w:hAnsi="Times New Roman" w:cs="Times New Roman"/>
          <w:b/>
          <w:bCs/>
          <w:color w:val="000000"/>
          <w:lang w:val="en-US"/>
        </w:rPr>
      </w:pPr>
      <w:r w:rsidRPr="00D67A31">
        <w:rPr>
          <w:rFonts w:ascii="Times New Roman" w:hAnsi="Times New Roman" w:cs="Times New Roman"/>
          <w:b/>
          <w:bCs/>
          <w:color w:val="000000"/>
          <w:lang w:val="en-US"/>
        </w:rPr>
        <w:t>3.5 Bags</w:t>
      </w:r>
    </w:p>
    <w:p w14:paraId="6E1192AF" w14:textId="70B92219" w:rsidR="00D67A31" w:rsidRDefault="00C42907" w:rsidP="00C42907">
      <w:pPr>
        <w:autoSpaceDE w:val="0"/>
        <w:autoSpaceDN w:val="0"/>
        <w:adjustRightInd w:val="0"/>
        <w:spacing w:after="0" w:line="240" w:lineRule="auto"/>
        <w:ind w:firstLineChars="200" w:firstLine="440"/>
        <w:jc w:val="center"/>
        <w:rPr>
          <w:rFonts w:ascii="Times New Roman" w:hAnsi="Times New Roman" w:cs="Times New Roman"/>
          <w:b/>
          <w:bCs/>
          <w:color w:val="000000"/>
          <w:lang w:val="en-US"/>
        </w:rPr>
      </w:pPr>
      <w:r>
        <w:rPr>
          <w:noProof/>
        </w:rPr>
        <w:drawing>
          <wp:inline distT="0" distB="0" distL="0" distR="0" wp14:anchorId="095E1F82" wp14:editId="347BBF14">
            <wp:extent cx="3690938" cy="2277904"/>
            <wp:effectExtent l="0" t="0" r="5080" b="8255"/>
            <wp:docPr id="131954050" name="グラフ 1">
              <a:extLst xmlns:a="http://schemas.openxmlformats.org/drawingml/2006/main">
                <a:ext uri="{FF2B5EF4-FFF2-40B4-BE49-F238E27FC236}">
                  <a16:creationId xmlns:a16="http://schemas.microsoft.com/office/drawing/2014/main" id="{E1E73B88-F666-5F27-0260-CDE1FE2455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9C93559" w14:textId="6D5D1DFA" w:rsidR="00C42907" w:rsidRPr="00C42907" w:rsidRDefault="00C42907" w:rsidP="00C42907">
      <w:pPr>
        <w:autoSpaceDE w:val="0"/>
        <w:autoSpaceDN w:val="0"/>
        <w:adjustRightInd w:val="0"/>
        <w:spacing w:after="0" w:line="240" w:lineRule="auto"/>
        <w:ind w:firstLineChars="200" w:firstLine="442"/>
        <w:jc w:val="center"/>
        <w:rPr>
          <w:rFonts w:ascii="Times New Roman" w:eastAsia="ＭＳ 明朝" w:hAnsi="Times New Roman" w:cs="Times New Roman"/>
          <w:b/>
          <w:bCs/>
          <w:color w:val="000000"/>
          <w:lang w:val="en-US" w:eastAsia="ja-JP"/>
        </w:rPr>
      </w:pPr>
      <w:r>
        <w:rPr>
          <w:rFonts w:ascii="Times New Roman" w:eastAsia="ＭＳ 明朝" w:hAnsi="Times New Roman" w:cs="Times New Roman" w:hint="eastAsia"/>
          <w:b/>
          <w:bCs/>
          <w:color w:val="000000"/>
          <w:lang w:val="en-US" w:eastAsia="ja-JP"/>
        </w:rPr>
        <w:t>F</w:t>
      </w:r>
      <w:r>
        <w:rPr>
          <w:rFonts w:ascii="Times New Roman" w:eastAsia="ＭＳ 明朝" w:hAnsi="Times New Roman" w:cs="Times New Roman"/>
          <w:b/>
          <w:bCs/>
          <w:color w:val="000000"/>
          <w:lang w:val="en-US" w:eastAsia="ja-JP"/>
        </w:rPr>
        <w:t xml:space="preserve">igure 7 Materials where complaints </w:t>
      </w:r>
      <w:proofErr w:type="gramStart"/>
      <w:r>
        <w:rPr>
          <w:rFonts w:ascii="Times New Roman" w:eastAsia="ＭＳ 明朝" w:hAnsi="Times New Roman" w:cs="Times New Roman"/>
          <w:b/>
          <w:bCs/>
          <w:color w:val="000000"/>
          <w:lang w:val="en-US" w:eastAsia="ja-JP"/>
        </w:rPr>
        <w:t>occurred</w:t>
      </w:r>
      <w:proofErr w:type="gramEnd"/>
    </w:p>
    <w:p w14:paraId="707CFC64" w14:textId="77777777" w:rsidR="00C42907" w:rsidRPr="00D67A31" w:rsidRDefault="00C42907" w:rsidP="00C42907">
      <w:pPr>
        <w:autoSpaceDE w:val="0"/>
        <w:autoSpaceDN w:val="0"/>
        <w:adjustRightInd w:val="0"/>
        <w:spacing w:after="0" w:line="240" w:lineRule="auto"/>
        <w:ind w:firstLineChars="200" w:firstLine="442"/>
        <w:rPr>
          <w:rFonts w:ascii="Times New Roman" w:hAnsi="Times New Roman" w:cs="Times New Roman"/>
          <w:b/>
          <w:bCs/>
          <w:color w:val="000000"/>
          <w:lang w:val="en-US"/>
        </w:rPr>
      </w:pPr>
    </w:p>
    <w:p w14:paraId="0227F549" w14:textId="05D76FED" w:rsid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D67A31">
        <w:rPr>
          <w:rFonts w:ascii="Times New Roman" w:hAnsi="Times New Roman" w:cs="Times New Roman"/>
          <w:color w:val="000000"/>
          <w:lang w:val="en-US"/>
        </w:rPr>
        <w:t>Figure 7 shows the composition of materials used in points where complaints were received about bags. As well as in women's shoes, the large ratio of complaints in "synthetic" and "polyurethane" is noticeable. In addition, although the complaints for "leather" tend to decrease over the years, its complaints have continued in a few ratios for a long time. It shows that leather is used longer than other materials. The unique is including the complaints of "metals".</w:t>
      </w:r>
    </w:p>
    <w:p w14:paraId="725DEF3F" w14:textId="77777777" w:rsidR="00D67A31" w:rsidRDefault="00D67A31"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p>
    <w:p w14:paraId="38BFE171" w14:textId="46DFAA6A" w:rsidR="00C42907" w:rsidRDefault="00C42907" w:rsidP="00883200">
      <w:pPr>
        <w:autoSpaceDE w:val="0"/>
        <w:autoSpaceDN w:val="0"/>
        <w:adjustRightInd w:val="0"/>
        <w:spacing w:after="0" w:line="240" w:lineRule="auto"/>
        <w:ind w:leftChars="300" w:left="660" w:firstLineChars="50" w:firstLine="110"/>
        <w:jc w:val="center"/>
        <w:rPr>
          <w:noProof/>
        </w:rPr>
      </w:pPr>
      <w:r>
        <w:rPr>
          <w:noProof/>
        </w:rPr>
        <w:drawing>
          <wp:inline distT="0" distB="0" distL="0" distR="0" wp14:anchorId="0F6F0BB7" wp14:editId="79828252">
            <wp:extent cx="2811162" cy="1733550"/>
            <wp:effectExtent l="0" t="0" r="8255" b="0"/>
            <wp:docPr id="679740194" name="グラフ 1">
              <a:extLst xmlns:a="http://schemas.openxmlformats.org/drawingml/2006/main">
                <a:ext uri="{FF2B5EF4-FFF2-40B4-BE49-F238E27FC236}">
                  <a16:creationId xmlns:a16="http://schemas.microsoft.com/office/drawing/2014/main" id="{067AEB1D-6D39-7485-BA3C-904A60970E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Pr>
          <w:noProof/>
        </w:rPr>
        <w:drawing>
          <wp:inline distT="0" distB="0" distL="0" distR="0" wp14:anchorId="20FB556A" wp14:editId="7299653A">
            <wp:extent cx="2685717" cy="1657350"/>
            <wp:effectExtent l="0" t="0" r="635" b="0"/>
            <wp:docPr id="44086088" name="グラフ 1">
              <a:extLst xmlns:a="http://schemas.openxmlformats.org/drawingml/2006/main">
                <a:ext uri="{FF2B5EF4-FFF2-40B4-BE49-F238E27FC236}">
                  <a16:creationId xmlns:a16="http://schemas.microsoft.com/office/drawing/2014/main" id="{AD4189EC-E6C3-1BCC-0A79-2DD88C2B0B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AFB8E4E" w14:textId="3635BEA6" w:rsidR="00C42907" w:rsidRDefault="00C42907" w:rsidP="00883200">
      <w:pPr>
        <w:autoSpaceDE w:val="0"/>
        <w:autoSpaceDN w:val="0"/>
        <w:adjustRightInd w:val="0"/>
        <w:spacing w:after="0" w:line="240" w:lineRule="auto"/>
        <w:ind w:leftChars="300" w:left="660" w:firstLineChars="50" w:firstLine="110"/>
        <w:jc w:val="center"/>
        <w:rPr>
          <w:noProof/>
        </w:rPr>
      </w:pPr>
      <w:r>
        <w:rPr>
          <w:noProof/>
        </w:rPr>
        <w:drawing>
          <wp:inline distT="0" distB="0" distL="0" distR="0" wp14:anchorId="42623823" wp14:editId="5534C6A2">
            <wp:extent cx="2852738" cy="1828800"/>
            <wp:effectExtent l="0" t="0" r="5080" b="0"/>
            <wp:docPr id="809653411" name="グラフ 1">
              <a:extLst xmlns:a="http://schemas.openxmlformats.org/drawingml/2006/main">
                <a:ext uri="{FF2B5EF4-FFF2-40B4-BE49-F238E27FC236}">
                  <a16:creationId xmlns:a16="http://schemas.microsoft.com/office/drawing/2014/main" id="{AD036E13-5EDE-0D06-6B00-BFB1A1F1DA6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00883200">
        <w:rPr>
          <w:noProof/>
        </w:rPr>
        <w:drawing>
          <wp:inline distT="0" distB="0" distL="0" distR="0" wp14:anchorId="79818378" wp14:editId="103B16E6">
            <wp:extent cx="2715769" cy="1681162"/>
            <wp:effectExtent l="0" t="0" r="8890" b="0"/>
            <wp:docPr id="2091047835" name="グラフ 1">
              <a:extLst xmlns:a="http://schemas.openxmlformats.org/drawingml/2006/main">
                <a:ext uri="{FF2B5EF4-FFF2-40B4-BE49-F238E27FC236}">
                  <a16:creationId xmlns:a16="http://schemas.microsoft.com/office/drawing/2014/main" id="{902B6C55-E361-1DF0-0133-59561C60592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AE2ED84" w14:textId="64B5960E" w:rsidR="00883200" w:rsidRDefault="00883200" w:rsidP="00883200">
      <w:pPr>
        <w:autoSpaceDE w:val="0"/>
        <w:autoSpaceDN w:val="0"/>
        <w:adjustRightInd w:val="0"/>
        <w:spacing w:after="0" w:line="240" w:lineRule="auto"/>
        <w:ind w:leftChars="300" w:left="660" w:firstLineChars="50" w:firstLine="110"/>
        <w:jc w:val="center"/>
        <w:rPr>
          <w:rFonts w:ascii="Times New Roman" w:hAnsi="Times New Roman" w:cs="Times New Roman"/>
          <w:color w:val="000000"/>
          <w:lang w:val="en-US"/>
        </w:rPr>
      </w:pPr>
      <w:r>
        <w:rPr>
          <w:noProof/>
        </w:rPr>
        <w:lastRenderedPageBreak/>
        <w:drawing>
          <wp:inline distT="0" distB="0" distL="0" distR="0" wp14:anchorId="254A8F93" wp14:editId="45822F11">
            <wp:extent cx="2947988" cy="1790700"/>
            <wp:effectExtent l="0" t="0" r="5080" b="0"/>
            <wp:docPr id="758314588" name="グラフ 1">
              <a:extLst xmlns:a="http://schemas.openxmlformats.org/drawingml/2006/main">
                <a:ext uri="{FF2B5EF4-FFF2-40B4-BE49-F238E27FC236}">
                  <a16:creationId xmlns:a16="http://schemas.microsoft.com/office/drawing/2014/main" id="{118F1FB8-4F17-9E3F-B368-3AE04253EE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891E0B2" w14:textId="258E09DD" w:rsidR="00C42907" w:rsidRPr="00883200" w:rsidRDefault="00883200" w:rsidP="00883200">
      <w:pPr>
        <w:autoSpaceDE w:val="0"/>
        <w:autoSpaceDN w:val="0"/>
        <w:adjustRightInd w:val="0"/>
        <w:spacing w:after="0" w:line="240" w:lineRule="auto"/>
        <w:ind w:leftChars="300" w:left="660" w:firstLineChars="50" w:firstLine="110"/>
        <w:jc w:val="center"/>
        <w:rPr>
          <w:rFonts w:ascii="Times New Roman" w:eastAsia="ＭＳ 明朝" w:hAnsi="Times New Roman" w:cs="Times New Roman"/>
          <w:b/>
          <w:bCs/>
          <w:color w:val="000000"/>
          <w:lang w:val="en-US" w:eastAsia="ja-JP"/>
        </w:rPr>
      </w:pPr>
      <w:r w:rsidRPr="00883200">
        <w:rPr>
          <w:rFonts w:ascii="Times New Roman" w:eastAsia="ＭＳ 明朝" w:hAnsi="Times New Roman" w:cs="Times New Roman" w:hint="eastAsia"/>
          <w:b/>
          <w:bCs/>
          <w:color w:val="000000"/>
          <w:lang w:val="en-US" w:eastAsia="ja-JP"/>
        </w:rPr>
        <w:t>F</w:t>
      </w:r>
      <w:r w:rsidRPr="00883200">
        <w:rPr>
          <w:rFonts w:ascii="Times New Roman" w:eastAsia="ＭＳ 明朝" w:hAnsi="Times New Roman" w:cs="Times New Roman"/>
          <w:b/>
          <w:bCs/>
          <w:color w:val="000000"/>
          <w:lang w:val="en-US" w:eastAsia="ja-JP"/>
        </w:rPr>
        <w:t>igure 8 Component of Complains by Materials</w:t>
      </w:r>
    </w:p>
    <w:p w14:paraId="405C7C73" w14:textId="77777777" w:rsidR="00883200" w:rsidRDefault="00883200"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p>
    <w:p w14:paraId="08498748" w14:textId="0958E8A8" w:rsidR="00D67A31" w:rsidRP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D67A31">
        <w:rPr>
          <w:rFonts w:ascii="Times New Roman" w:hAnsi="Times New Roman" w:cs="Times New Roman"/>
          <w:color w:val="000000"/>
          <w:lang w:val="en-US"/>
        </w:rPr>
        <w:t xml:space="preserve">Figure </w:t>
      </w:r>
      <w:r w:rsidR="006E4FFF" w:rsidRPr="00D67A31">
        <w:rPr>
          <w:rFonts w:ascii="Times New Roman" w:hAnsi="Times New Roman" w:cs="Times New Roman"/>
          <w:color w:val="000000"/>
          <w:lang w:val="en-US"/>
        </w:rPr>
        <w:t>8 shows</w:t>
      </w:r>
      <w:r w:rsidRPr="00D67A31">
        <w:rPr>
          <w:rFonts w:ascii="Times New Roman" w:hAnsi="Times New Roman" w:cs="Times New Roman"/>
          <w:color w:val="000000"/>
          <w:lang w:val="en-US"/>
        </w:rPr>
        <w:t xml:space="preserve"> the details of complaints by material. "Leather" bags have discoloration, stains, peeling of paint, becoming sticky, hardens, and softens. "Synthetic" and "polyurethane" bags have surface cracks, cracks, peeling, stickiness, hardening, and softening. "Metal" parts of bags have discoloration, staining, peeling of paint, and damage to joints of accessories. Although there is no record of the color of the product in records, judging from my past practical experience, I have the impression that "leather" has many discolorations of light-colored and many </w:t>
      </w:r>
      <w:r w:rsidR="006E4FFF" w:rsidRPr="00D67A31">
        <w:rPr>
          <w:rFonts w:ascii="Times New Roman" w:hAnsi="Times New Roman" w:cs="Times New Roman"/>
          <w:color w:val="000000"/>
          <w:lang w:val="en-US"/>
        </w:rPr>
        <w:t>deteriorations</w:t>
      </w:r>
      <w:r w:rsidRPr="00D67A31">
        <w:rPr>
          <w:rFonts w:ascii="Times New Roman" w:hAnsi="Times New Roman" w:cs="Times New Roman"/>
          <w:color w:val="000000"/>
          <w:lang w:val="en-US"/>
        </w:rPr>
        <w:t xml:space="preserve"> of the polyurethane surface coating over time. "Synthetic" and polyurethane bags hydrolyze over time. "Metal" parts have rust and peeling of paints such as fasteners and locks.</w:t>
      </w:r>
    </w:p>
    <w:p w14:paraId="77FD0A10" w14:textId="07D77874" w:rsid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D67A31">
        <w:rPr>
          <w:rFonts w:ascii="Times New Roman" w:hAnsi="Times New Roman" w:cs="Times New Roman"/>
          <w:color w:val="000000"/>
          <w:lang w:val="en-US"/>
        </w:rPr>
        <w:t>There is noticeable wear and tear on "metal" parts of handles and shoulder straps.</w:t>
      </w:r>
    </w:p>
    <w:p w14:paraId="338DC200" w14:textId="77777777" w:rsidR="00D67A31" w:rsidRDefault="00D67A31"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p>
    <w:p w14:paraId="5CE45020" w14:textId="058565B7" w:rsidR="00883200" w:rsidRDefault="00883200" w:rsidP="00883200">
      <w:pPr>
        <w:autoSpaceDE w:val="0"/>
        <w:autoSpaceDN w:val="0"/>
        <w:adjustRightInd w:val="0"/>
        <w:spacing w:after="0" w:line="240" w:lineRule="auto"/>
        <w:ind w:leftChars="300" w:left="660" w:firstLineChars="50" w:firstLine="110"/>
        <w:jc w:val="center"/>
        <w:rPr>
          <w:rFonts w:ascii="Times New Roman" w:hAnsi="Times New Roman" w:cs="Times New Roman"/>
          <w:color w:val="000000"/>
          <w:lang w:val="en-US"/>
        </w:rPr>
      </w:pPr>
      <w:r>
        <w:rPr>
          <w:noProof/>
        </w:rPr>
        <w:drawing>
          <wp:inline distT="0" distB="0" distL="0" distR="0" wp14:anchorId="699BCEC8" wp14:editId="1958BC6E">
            <wp:extent cx="2044700" cy="1828800"/>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2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44700" cy="1828800"/>
                    </a:xfrm>
                    <a:prstGeom prst="rect">
                      <a:avLst/>
                    </a:prstGeom>
                  </pic:spPr>
                </pic:pic>
              </a:graphicData>
            </a:graphic>
          </wp:inline>
        </w:drawing>
      </w:r>
    </w:p>
    <w:p w14:paraId="3E389DD1" w14:textId="60D25687" w:rsidR="00883200" w:rsidRPr="00883200" w:rsidRDefault="00883200" w:rsidP="00883200">
      <w:pPr>
        <w:autoSpaceDE w:val="0"/>
        <w:autoSpaceDN w:val="0"/>
        <w:adjustRightInd w:val="0"/>
        <w:spacing w:after="0" w:line="240" w:lineRule="auto"/>
        <w:ind w:leftChars="300" w:left="660" w:firstLineChars="50" w:firstLine="110"/>
        <w:jc w:val="center"/>
        <w:rPr>
          <w:rFonts w:ascii="Times New Roman" w:eastAsia="ＭＳ 明朝" w:hAnsi="Times New Roman" w:cs="Times New Roman"/>
          <w:b/>
          <w:bCs/>
          <w:color w:val="000000"/>
          <w:lang w:val="en-US" w:eastAsia="ja-JP"/>
        </w:rPr>
      </w:pPr>
      <w:r w:rsidRPr="00883200">
        <w:rPr>
          <w:rFonts w:ascii="Times New Roman" w:eastAsia="ＭＳ 明朝" w:hAnsi="Times New Roman" w:cs="Times New Roman" w:hint="eastAsia"/>
          <w:b/>
          <w:bCs/>
          <w:color w:val="000000"/>
          <w:lang w:val="en-US" w:eastAsia="ja-JP"/>
        </w:rPr>
        <w:t>F</w:t>
      </w:r>
      <w:r w:rsidRPr="00883200">
        <w:rPr>
          <w:rFonts w:ascii="Times New Roman" w:eastAsia="ＭＳ 明朝" w:hAnsi="Times New Roman" w:cs="Times New Roman"/>
          <w:b/>
          <w:bCs/>
          <w:color w:val="000000"/>
          <w:lang w:val="en-US" w:eastAsia="ja-JP"/>
        </w:rPr>
        <w:t>igure 9 Case Study of Discolored</w:t>
      </w:r>
    </w:p>
    <w:p w14:paraId="3FD7DCA3" w14:textId="77777777" w:rsidR="00883200" w:rsidRDefault="00883200"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p>
    <w:p w14:paraId="1036C0E3" w14:textId="4C9A532F" w:rsidR="00D67A31" w:rsidRDefault="00D67A31"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D67A31">
        <w:rPr>
          <w:rFonts w:ascii="Times New Roman" w:hAnsi="Times New Roman" w:cs="Times New Roman"/>
          <w:color w:val="000000"/>
          <w:lang w:val="en-US"/>
        </w:rPr>
        <w:t>An example of a product complaint of “discoloration of light-colored leather” is shown (Fig. 9). The content of the offer was, "I bought it about five years ago.</w:t>
      </w:r>
      <w:r w:rsidR="006E4FFF">
        <w:rPr>
          <w:rFonts w:ascii="Times New Roman" w:hAnsi="Times New Roman" w:cs="Times New Roman"/>
          <w:color w:val="000000"/>
          <w:lang w:val="en-US"/>
        </w:rPr>
        <w:t xml:space="preserve"> </w:t>
      </w:r>
      <w:r w:rsidRPr="00D67A31">
        <w:rPr>
          <w:rFonts w:ascii="Times New Roman" w:hAnsi="Times New Roman" w:cs="Times New Roman"/>
          <w:color w:val="000000"/>
          <w:lang w:val="en-US"/>
        </w:rPr>
        <w:t>I put it in a cloth bag and kept it in a well-ventilated place on the third floor of my boyfriend's apartment.</w:t>
      </w:r>
      <w:r w:rsidR="006E4FFF">
        <w:rPr>
          <w:rFonts w:ascii="Times New Roman" w:hAnsi="Times New Roman" w:cs="Times New Roman"/>
          <w:color w:val="000000"/>
          <w:lang w:val="en-US"/>
        </w:rPr>
        <w:t xml:space="preserve"> </w:t>
      </w:r>
      <w:r w:rsidRPr="00D67A31">
        <w:rPr>
          <w:rFonts w:ascii="Times New Roman" w:hAnsi="Times New Roman" w:cs="Times New Roman"/>
          <w:color w:val="000000"/>
          <w:lang w:val="en-US"/>
        </w:rPr>
        <w:t>When I took it out recently, it had changed color from gray to green." The cause of complaint was the enameled leather changed color to yellow during home storage.</w:t>
      </w:r>
    </w:p>
    <w:p w14:paraId="50A8AEE1" w14:textId="77777777" w:rsidR="00D67A31" w:rsidRDefault="00D67A31"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p>
    <w:p w14:paraId="5AD0D71D" w14:textId="454FC4AF" w:rsidR="00883200" w:rsidRDefault="00883200" w:rsidP="00883200">
      <w:pPr>
        <w:autoSpaceDE w:val="0"/>
        <w:autoSpaceDN w:val="0"/>
        <w:adjustRightInd w:val="0"/>
        <w:spacing w:after="0" w:line="240" w:lineRule="auto"/>
        <w:ind w:leftChars="300" w:left="660" w:firstLineChars="50" w:firstLine="110"/>
        <w:jc w:val="center"/>
        <w:rPr>
          <w:rFonts w:ascii="Times New Roman" w:hAnsi="Times New Roman" w:cs="Times New Roman"/>
          <w:color w:val="000000"/>
          <w:lang w:val="en-US"/>
        </w:rPr>
      </w:pPr>
      <w:r>
        <w:rPr>
          <w:rFonts w:hint="eastAsia"/>
          <w:noProof/>
        </w:rPr>
        <w:lastRenderedPageBreak/>
        <w:drawing>
          <wp:inline distT="0" distB="0" distL="0" distR="0" wp14:anchorId="20394970" wp14:editId="5D74CB99">
            <wp:extent cx="2400300" cy="1587500"/>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図 24"/>
                    <pic:cNvPicPr/>
                  </pic:nvPicPr>
                  <pic:blipFill>
                    <a:blip r:embed="rId24" cstate="print">
                      <a:extLst>
                        <a:ext uri="{28A0092B-C50C-407E-A947-70E740481C1C}">
                          <a14:useLocalDpi xmlns:a14="http://schemas.microsoft.com/office/drawing/2010/main" val="0"/>
                        </a:ext>
                      </a:extLst>
                    </a:blip>
                    <a:stretch>
                      <a:fillRect/>
                    </a:stretch>
                  </pic:blipFill>
                  <pic:spPr>
                    <a:xfrm rot="16200000">
                      <a:off x="0" y="0"/>
                      <a:ext cx="2400300" cy="1587500"/>
                    </a:xfrm>
                    <a:prstGeom prst="rect">
                      <a:avLst/>
                    </a:prstGeom>
                  </pic:spPr>
                </pic:pic>
              </a:graphicData>
            </a:graphic>
          </wp:inline>
        </w:drawing>
      </w:r>
    </w:p>
    <w:p w14:paraId="649F6EBD" w14:textId="2C3189C6" w:rsidR="00883200" w:rsidRPr="00883200" w:rsidRDefault="00883200" w:rsidP="00883200">
      <w:pPr>
        <w:autoSpaceDE w:val="0"/>
        <w:autoSpaceDN w:val="0"/>
        <w:adjustRightInd w:val="0"/>
        <w:spacing w:after="0" w:line="240" w:lineRule="auto"/>
        <w:ind w:leftChars="300" w:left="660" w:firstLineChars="50" w:firstLine="110"/>
        <w:jc w:val="center"/>
        <w:rPr>
          <w:rFonts w:ascii="Times New Roman" w:eastAsia="ＭＳ 明朝" w:hAnsi="Times New Roman" w:cs="Times New Roman"/>
          <w:b/>
          <w:bCs/>
          <w:color w:val="000000"/>
          <w:lang w:val="en-US" w:eastAsia="ja-JP"/>
        </w:rPr>
      </w:pPr>
      <w:r w:rsidRPr="00883200">
        <w:rPr>
          <w:rFonts w:ascii="Times New Roman" w:eastAsia="ＭＳ 明朝" w:hAnsi="Times New Roman" w:cs="Times New Roman" w:hint="eastAsia"/>
          <w:b/>
          <w:bCs/>
          <w:color w:val="000000"/>
          <w:lang w:val="en-US" w:eastAsia="ja-JP"/>
        </w:rPr>
        <w:t>F</w:t>
      </w:r>
      <w:r w:rsidRPr="00883200">
        <w:rPr>
          <w:rFonts w:ascii="Times New Roman" w:eastAsia="ＭＳ 明朝" w:hAnsi="Times New Roman" w:cs="Times New Roman"/>
          <w:b/>
          <w:bCs/>
          <w:color w:val="000000"/>
          <w:lang w:val="en-US" w:eastAsia="ja-JP"/>
        </w:rPr>
        <w:t>igure 10 Case Study of Stained</w:t>
      </w:r>
    </w:p>
    <w:p w14:paraId="02AAB73E" w14:textId="77777777" w:rsidR="00883200" w:rsidRDefault="00883200"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p>
    <w:p w14:paraId="6EB59ED1" w14:textId="49105839" w:rsidR="00D67A31" w:rsidRDefault="00D67A31"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D67A31">
        <w:rPr>
          <w:rFonts w:ascii="Times New Roman" w:hAnsi="Times New Roman" w:cs="Times New Roman"/>
          <w:color w:val="000000"/>
          <w:lang w:val="en-US"/>
        </w:rPr>
        <w:t xml:space="preserve">Figure 10 shows that an example of a complaint about "stains on leather" is shown. The complaint was, "I bought it 2-3 years ago. It was stored in a dry place, but when I took it out, it was discolored around the slide fastener. Why is it like this?" </w:t>
      </w:r>
      <w:r w:rsidR="006E4FFF" w:rsidRPr="00D67A31">
        <w:rPr>
          <w:rFonts w:ascii="Times New Roman" w:hAnsi="Times New Roman" w:cs="Times New Roman"/>
          <w:color w:val="000000"/>
          <w:lang w:val="en-US"/>
        </w:rPr>
        <w:t>The adhesive tape</w:t>
      </w:r>
      <w:r w:rsidRPr="00D67A31">
        <w:rPr>
          <w:rFonts w:ascii="Times New Roman" w:hAnsi="Times New Roman" w:cs="Times New Roman"/>
          <w:color w:val="000000"/>
          <w:lang w:val="en-US"/>
        </w:rPr>
        <w:t xml:space="preserve"> in the sewing area has seeped out.</w:t>
      </w:r>
    </w:p>
    <w:p w14:paraId="70EA4F14" w14:textId="77777777" w:rsidR="00D67A31" w:rsidRDefault="00D67A31"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p>
    <w:p w14:paraId="449DE229" w14:textId="4B541F8A" w:rsidR="00883200" w:rsidRDefault="00883200" w:rsidP="00883200">
      <w:pPr>
        <w:autoSpaceDE w:val="0"/>
        <w:autoSpaceDN w:val="0"/>
        <w:adjustRightInd w:val="0"/>
        <w:spacing w:after="0" w:line="240" w:lineRule="auto"/>
        <w:ind w:leftChars="300" w:left="660" w:firstLineChars="50" w:firstLine="110"/>
        <w:jc w:val="center"/>
        <w:rPr>
          <w:rFonts w:ascii="Times New Roman" w:hAnsi="Times New Roman" w:cs="Times New Roman"/>
          <w:color w:val="000000"/>
          <w:lang w:val="en-US"/>
        </w:rPr>
      </w:pPr>
      <w:r>
        <w:rPr>
          <w:rFonts w:hint="eastAsia"/>
          <w:noProof/>
        </w:rPr>
        <w:drawing>
          <wp:inline distT="0" distB="0" distL="0" distR="0" wp14:anchorId="754AC247" wp14:editId="5FD730B7">
            <wp:extent cx="2565400" cy="1701800"/>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2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65400" cy="1701800"/>
                    </a:xfrm>
                    <a:prstGeom prst="rect">
                      <a:avLst/>
                    </a:prstGeom>
                  </pic:spPr>
                </pic:pic>
              </a:graphicData>
            </a:graphic>
          </wp:inline>
        </w:drawing>
      </w:r>
    </w:p>
    <w:p w14:paraId="52E0FB75" w14:textId="27E5C25D" w:rsidR="00883200" w:rsidRPr="00883200" w:rsidRDefault="00883200" w:rsidP="00883200">
      <w:pPr>
        <w:autoSpaceDE w:val="0"/>
        <w:autoSpaceDN w:val="0"/>
        <w:adjustRightInd w:val="0"/>
        <w:spacing w:after="0" w:line="240" w:lineRule="auto"/>
        <w:ind w:leftChars="300" w:left="660" w:firstLineChars="50" w:firstLine="110"/>
        <w:jc w:val="center"/>
        <w:rPr>
          <w:rFonts w:ascii="Times New Roman" w:eastAsia="ＭＳ 明朝" w:hAnsi="Times New Roman" w:cs="Times New Roman"/>
          <w:b/>
          <w:bCs/>
          <w:color w:val="000000"/>
          <w:lang w:val="en-US" w:eastAsia="ja-JP"/>
        </w:rPr>
      </w:pPr>
      <w:r w:rsidRPr="00883200">
        <w:rPr>
          <w:rFonts w:ascii="Times New Roman" w:eastAsia="ＭＳ 明朝" w:hAnsi="Times New Roman" w:cs="Times New Roman" w:hint="eastAsia"/>
          <w:b/>
          <w:bCs/>
          <w:color w:val="000000"/>
          <w:lang w:val="en-US" w:eastAsia="ja-JP"/>
        </w:rPr>
        <w:t>F</w:t>
      </w:r>
      <w:r w:rsidRPr="00883200">
        <w:rPr>
          <w:rFonts w:ascii="Times New Roman" w:eastAsia="ＭＳ 明朝" w:hAnsi="Times New Roman" w:cs="Times New Roman"/>
          <w:b/>
          <w:bCs/>
          <w:color w:val="000000"/>
          <w:lang w:val="en-US" w:eastAsia="ja-JP"/>
        </w:rPr>
        <w:t>igure 11 Case Study of Surface Peeling of Synthetic</w:t>
      </w:r>
    </w:p>
    <w:p w14:paraId="2B40BCAC" w14:textId="77777777" w:rsidR="00D67A31" w:rsidRP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D67A31">
        <w:rPr>
          <w:rFonts w:ascii="Times New Roman" w:hAnsi="Times New Roman" w:cs="Times New Roman"/>
          <w:color w:val="000000"/>
          <w:lang w:val="en-US"/>
        </w:rPr>
        <w:t>Figure 11 shows an example of a complaint about “surface peeling of synthetic”. The complaint was "I purchased the ostrich bag one and a half years ago, but the outside is still okay, but the lining is peeling apart. I should have been storing it normally."</w:t>
      </w:r>
    </w:p>
    <w:p w14:paraId="2B78A0F0" w14:textId="6D92E6C7" w:rsid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D67A31">
        <w:rPr>
          <w:rFonts w:ascii="Times New Roman" w:hAnsi="Times New Roman" w:cs="Times New Roman"/>
          <w:color w:val="000000"/>
          <w:lang w:val="en-US"/>
        </w:rPr>
        <w:t xml:space="preserve"> The bag was made of leather, but the lining seemed that the polyurethane coated synthetic used deteriorated over time and peeled off. Since the complaint was made early, one and a half years after purchase, there is a possibility that the shoes might have remained in store stock for a long time.</w:t>
      </w:r>
    </w:p>
    <w:p w14:paraId="456FA739" w14:textId="77777777" w:rsidR="00D67A31" w:rsidRDefault="00D67A31" w:rsidP="000E23ED">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p>
    <w:p w14:paraId="45160BAB" w14:textId="094BCBE1" w:rsidR="002B0A74" w:rsidRDefault="00000000">
      <w:pPr>
        <w:pStyle w:val="a7"/>
        <w:numPr>
          <w:ilvl w:val="0"/>
          <w:numId w:val="1"/>
        </w:numPr>
        <w:autoSpaceDE w:val="0"/>
        <w:autoSpaceDN w:val="0"/>
        <w:adjustRightInd w:val="0"/>
        <w:spacing w:after="0" w:line="240" w:lineRule="auto"/>
        <w:rPr>
          <w:rFonts w:ascii="Times New Roman" w:hAnsi="Times New Roman" w:cs="Times New Roman"/>
          <w:b/>
          <w:bCs/>
          <w:color w:val="76933C"/>
          <w:sz w:val="24"/>
          <w:szCs w:val="24"/>
          <w:lang w:val="en-US"/>
        </w:rPr>
      </w:pPr>
      <w:r>
        <w:rPr>
          <w:rFonts w:ascii="Times New Roman" w:hAnsi="Times New Roman" w:cs="Times New Roman"/>
          <w:b/>
          <w:bCs/>
          <w:color w:val="000000"/>
          <w:sz w:val="24"/>
          <w:szCs w:val="24"/>
          <w:lang w:val="en-US"/>
        </w:rPr>
        <w:t>Conclusion</w:t>
      </w:r>
    </w:p>
    <w:p w14:paraId="79CA7104" w14:textId="77777777" w:rsidR="002B0A74" w:rsidRDefault="002B0A74">
      <w:pPr>
        <w:pStyle w:val="a7"/>
        <w:autoSpaceDE w:val="0"/>
        <w:autoSpaceDN w:val="0"/>
        <w:adjustRightInd w:val="0"/>
        <w:spacing w:after="0" w:line="240" w:lineRule="auto"/>
        <w:rPr>
          <w:rFonts w:ascii="TimesNewRomanPS-BoldMT" w:hAnsi="TimesNewRomanPS-BoldMT" w:cs="TimesNewRomanPS-BoldMT"/>
          <w:b/>
          <w:bCs/>
          <w:color w:val="76933C"/>
          <w:lang w:val="en-US"/>
        </w:rPr>
      </w:pPr>
    </w:p>
    <w:p w14:paraId="258FF784" w14:textId="176F55FA" w:rsidR="00D67A31" w:rsidRP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Pr>
          <w:rFonts w:ascii="Times New Roman" w:hAnsi="Times New Roman" w:cs="Times New Roman"/>
          <w:color w:val="000000"/>
          <w:lang w:val="en-US"/>
        </w:rPr>
        <w:t xml:space="preserve">With </w:t>
      </w:r>
      <w:r w:rsidRPr="00D67A31">
        <w:rPr>
          <w:rFonts w:ascii="Times New Roman" w:hAnsi="Times New Roman" w:cs="Times New Roman"/>
          <w:color w:val="000000"/>
          <w:lang w:val="en-US"/>
        </w:rPr>
        <w:t xml:space="preserve">a view to extending the life cycle and expanding the </w:t>
      </w:r>
      <w:r w:rsidR="006E4FFF" w:rsidRPr="00D67A31">
        <w:rPr>
          <w:rFonts w:ascii="Times New Roman" w:hAnsi="Times New Roman" w:cs="Times New Roman"/>
          <w:color w:val="000000"/>
          <w:lang w:val="en-US"/>
        </w:rPr>
        <w:t>reuse,</w:t>
      </w:r>
      <w:r w:rsidRPr="00D67A31">
        <w:rPr>
          <w:rFonts w:ascii="Times New Roman" w:hAnsi="Times New Roman" w:cs="Times New Roman"/>
          <w:color w:val="000000"/>
          <w:lang w:val="en-US"/>
        </w:rPr>
        <w:t xml:space="preserve"> the following are the major quality issues that should be resolved in the future when using leather products for a long period of time.</w:t>
      </w:r>
    </w:p>
    <w:p w14:paraId="1F1751C8" w14:textId="77777777" w:rsidR="00D67A31" w:rsidRP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p>
    <w:p w14:paraId="5CA91C6D" w14:textId="77777777" w:rsidR="00D67A31" w:rsidRP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D67A31">
        <w:rPr>
          <w:rFonts w:ascii="Times New Roman" w:hAnsi="Times New Roman" w:cs="Times New Roman"/>
          <w:color w:val="000000"/>
          <w:lang w:val="en-US"/>
        </w:rPr>
        <w:t>(1) Especially for Asian marketing, you should be careful of the hydrolysis in place where polyurethane is used such as synthetic upper and linings, outsole material that tend to occur after 3 or 5 years over from manufacturing. This is the biggest problem.</w:t>
      </w:r>
    </w:p>
    <w:p w14:paraId="5EB47955" w14:textId="77777777" w:rsidR="00D67A31" w:rsidRP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D67A31">
        <w:rPr>
          <w:rFonts w:ascii="Times New Roman" w:hAnsi="Times New Roman" w:cs="Times New Roman"/>
          <w:color w:val="000000"/>
          <w:lang w:val="en-US"/>
        </w:rPr>
        <w:t>(2) Especially for light-colored or enameled leather, you should be careful of the yellowing that occurs after 3 or 5 years over from manufacturing.</w:t>
      </w:r>
    </w:p>
    <w:p w14:paraId="4C9F95C2" w14:textId="76527FA4" w:rsidR="00D67A31" w:rsidRP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D67A31">
        <w:rPr>
          <w:rFonts w:ascii="Times New Roman" w:hAnsi="Times New Roman" w:cs="Times New Roman"/>
          <w:color w:val="000000"/>
          <w:lang w:val="en-US"/>
        </w:rPr>
        <w:t>(</w:t>
      </w:r>
      <w:r w:rsidR="006E4FFF" w:rsidRPr="00D67A31">
        <w:rPr>
          <w:rFonts w:ascii="Times New Roman" w:hAnsi="Times New Roman" w:cs="Times New Roman"/>
          <w:color w:val="000000"/>
          <w:lang w:val="en-US"/>
        </w:rPr>
        <w:t>3) Where</w:t>
      </w:r>
      <w:r w:rsidRPr="00D67A31">
        <w:rPr>
          <w:rFonts w:ascii="Times New Roman" w:hAnsi="Times New Roman" w:cs="Times New Roman"/>
          <w:color w:val="000000"/>
          <w:lang w:val="en-US"/>
        </w:rPr>
        <w:t xml:space="preserve"> sewing ang adhesive used together, you should be careful of staining by age for 3 or 5 years </w:t>
      </w:r>
      <w:r w:rsidR="006E4FFF" w:rsidRPr="00D67A31">
        <w:rPr>
          <w:rFonts w:ascii="Times New Roman" w:hAnsi="Times New Roman" w:cs="Times New Roman"/>
          <w:color w:val="000000"/>
          <w:lang w:val="en-US"/>
        </w:rPr>
        <w:t>after purchase</w:t>
      </w:r>
      <w:r w:rsidRPr="00D67A31">
        <w:rPr>
          <w:rFonts w:ascii="Times New Roman" w:hAnsi="Times New Roman" w:cs="Times New Roman"/>
          <w:color w:val="000000"/>
          <w:lang w:val="en-US"/>
        </w:rPr>
        <w:t>.</w:t>
      </w:r>
    </w:p>
    <w:p w14:paraId="21411230" w14:textId="77777777" w:rsidR="00D67A31" w:rsidRP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D67A31">
        <w:rPr>
          <w:rFonts w:ascii="Times New Roman" w:hAnsi="Times New Roman" w:cs="Times New Roman"/>
          <w:color w:val="000000"/>
          <w:lang w:val="en-US"/>
        </w:rPr>
        <w:t>(4) Where used metal parts, you should be careful of wear and rust by age for 3 or 5 years after purchase.</w:t>
      </w:r>
    </w:p>
    <w:p w14:paraId="586385B1" w14:textId="77777777" w:rsidR="00D67A31" w:rsidRP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p>
    <w:p w14:paraId="7D0CB15C" w14:textId="36A02C1E" w:rsidR="00D67A31" w:rsidRPr="00D67A31" w:rsidRDefault="006E4FFF"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D67A31">
        <w:rPr>
          <w:rFonts w:ascii="Times New Roman" w:hAnsi="Times New Roman" w:cs="Times New Roman"/>
          <w:color w:val="000000"/>
          <w:lang w:val="en-US"/>
        </w:rPr>
        <w:t>To</w:t>
      </w:r>
      <w:r w:rsidR="00D67A31" w:rsidRPr="00D67A31">
        <w:rPr>
          <w:rFonts w:ascii="Times New Roman" w:hAnsi="Times New Roman" w:cs="Times New Roman"/>
          <w:color w:val="000000"/>
          <w:lang w:val="en-US"/>
        </w:rPr>
        <w:t xml:space="preserve"> create leather products that can be used for a long time, the following should be taken into consideration.</w:t>
      </w:r>
    </w:p>
    <w:p w14:paraId="6AFD235C" w14:textId="77777777" w:rsidR="00D67A31" w:rsidRP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p>
    <w:p w14:paraId="0C4273E4" w14:textId="77777777" w:rsidR="00D67A31" w:rsidRP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D67A31">
        <w:rPr>
          <w:rFonts w:ascii="Times New Roman" w:hAnsi="Times New Roman" w:cs="Times New Roman"/>
          <w:color w:val="000000"/>
          <w:lang w:val="en-US"/>
        </w:rPr>
        <w:t>(5) Where synthetic, polyurethane, rubber, etc. are used, the structure should be replaceable as much as possible.</w:t>
      </w:r>
    </w:p>
    <w:p w14:paraId="6C64A1DB" w14:textId="77777777" w:rsidR="00D67A31" w:rsidRP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D67A31">
        <w:rPr>
          <w:rFonts w:ascii="Times New Roman" w:hAnsi="Times New Roman" w:cs="Times New Roman"/>
          <w:color w:val="000000"/>
          <w:lang w:val="en-US"/>
        </w:rPr>
        <w:t>(6) When using light-colored leather, and when using synthetic material, when using vegan leather, you should carefully check its durability.</w:t>
      </w:r>
    </w:p>
    <w:p w14:paraId="6BA238F4" w14:textId="77777777" w:rsidR="00D67A31" w:rsidRP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D67A31">
        <w:rPr>
          <w:rFonts w:ascii="Times New Roman" w:hAnsi="Times New Roman" w:cs="Times New Roman"/>
          <w:color w:val="000000"/>
          <w:lang w:val="en-US"/>
        </w:rPr>
        <w:t>(7) Where using metal parts such as rings and slide fasteners, you should be replaceable.</w:t>
      </w:r>
    </w:p>
    <w:p w14:paraId="64DCFCDF" w14:textId="29C8D58D" w:rsidR="00D67A31" w:rsidRP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p>
    <w:p w14:paraId="0CDDD247" w14:textId="77777777" w:rsidR="00D67A31" w:rsidRP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D67A31">
        <w:rPr>
          <w:rFonts w:ascii="Times New Roman" w:hAnsi="Times New Roman" w:cs="Times New Roman"/>
          <w:color w:val="000000"/>
          <w:lang w:val="en-US"/>
        </w:rPr>
        <w:t>Not only product manufacturers but also distributors such as department stores should pay attention to the following when handling leather products that can be used for a long time. Of course, it is most desirable to make leather products based on the following.</w:t>
      </w:r>
    </w:p>
    <w:p w14:paraId="34D8AA69" w14:textId="77777777" w:rsidR="00D67A31" w:rsidRP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p>
    <w:p w14:paraId="770E55F5" w14:textId="69E43CF3" w:rsidR="00D67A31" w:rsidRP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D67A31">
        <w:rPr>
          <w:rFonts w:ascii="Times New Roman" w:hAnsi="Times New Roman" w:cs="Times New Roman"/>
          <w:color w:val="000000"/>
          <w:lang w:val="en-US"/>
        </w:rPr>
        <w:t xml:space="preserve">(9) In the </w:t>
      </w:r>
      <w:r w:rsidR="006E4FFF" w:rsidRPr="00D67A31">
        <w:rPr>
          <w:rFonts w:ascii="Times New Roman" w:hAnsi="Times New Roman" w:cs="Times New Roman"/>
          <w:color w:val="000000"/>
          <w:lang w:val="en-US"/>
        </w:rPr>
        <w:t>Asian</w:t>
      </w:r>
      <w:r w:rsidRPr="00D67A31">
        <w:rPr>
          <w:rFonts w:ascii="Times New Roman" w:hAnsi="Times New Roman" w:cs="Times New Roman"/>
          <w:color w:val="000000"/>
          <w:lang w:val="en-US"/>
        </w:rPr>
        <w:t xml:space="preserve"> market, when selling products made of synthetic or polyurethane, you should provide information for your customers to the effect that "we recommend wearing them as soon as possible without stocking them for as long as possible" and to sell items in stock as quickly as possible. In addition, in difficult cases to identify its materials visually, you should clearly indicate where synthetic or polyurethane is used.</w:t>
      </w:r>
    </w:p>
    <w:p w14:paraId="7C0493B5" w14:textId="18C4C415" w:rsidR="00D67A31" w:rsidRP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D67A31">
        <w:rPr>
          <w:rFonts w:ascii="Times New Roman" w:hAnsi="Times New Roman" w:cs="Times New Roman"/>
          <w:color w:val="000000"/>
          <w:lang w:val="en-US"/>
        </w:rPr>
        <w:t xml:space="preserve">(10) Discoloration and fading over time </w:t>
      </w:r>
      <w:r w:rsidR="006E4FFF" w:rsidRPr="00D67A31">
        <w:rPr>
          <w:rFonts w:ascii="Times New Roman" w:hAnsi="Times New Roman" w:cs="Times New Roman"/>
          <w:color w:val="000000"/>
          <w:lang w:val="en-US"/>
        </w:rPr>
        <w:t>are</w:t>
      </w:r>
      <w:r w:rsidRPr="00D67A31">
        <w:rPr>
          <w:rFonts w:ascii="Times New Roman" w:hAnsi="Times New Roman" w:cs="Times New Roman"/>
          <w:color w:val="000000"/>
          <w:lang w:val="en-US"/>
        </w:rPr>
        <w:t xml:space="preserve"> unavoidable in every </w:t>
      </w:r>
      <w:r w:rsidR="006E4FFF" w:rsidRPr="00D67A31">
        <w:rPr>
          <w:rFonts w:ascii="Times New Roman" w:hAnsi="Times New Roman" w:cs="Times New Roman"/>
          <w:color w:val="000000"/>
          <w:lang w:val="en-US"/>
        </w:rPr>
        <w:t>material</w:t>
      </w:r>
      <w:r w:rsidRPr="00D67A31">
        <w:rPr>
          <w:rFonts w:ascii="Times New Roman" w:hAnsi="Times New Roman" w:cs="Times New Roman"/>
          <w:color w:val="000000"/>
          <w:lang w:val="en-US"/>
        </w:rPr>
        <w:t>, so you should avoid too strict standard values when establishing quality standards.</w:t>
      </w:r>
    </w:p>
    <w:p w14:paraId="56A382C2" w14:textId="30EABE90" w:rsidR="00D67A31" w:rsidRP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r w:rsidRPr="00D67A31">
        <w:rPr>
          <w:rFonts w:ascii="Times New Roman" w:hAnsi="Times New Roman" w:cs="Times New Roman"/>
          <w:color w:val="000000"/>
          <w:lang w:val="en-US"/>
        </w:rPr>
        <w:t xml:space="preserve">(11) Such as worn parts and metals, you should design replaceable and should cooperate to repair </w:t>
      </w:r>
      <w:r w:rsidR="006E4FFF" w:rsidRPr="00D67A31">
        <w:rPr>
          <w:rFonts w:ascii="Times New Roman" w:hAnsi="Times New Roman" w:cs="Times New Roman"/>
          <w:color w:val="000000"/>
          <w:lang w:val="en-US"/>
        </w:rPr>
        <w:t>to</w:t>
      </w:r>
      <w:r w:rsidRPr="00D67A31">
        <w:rPr>
          <w:rFonts w:ascii="Times New Roman" w:hAnsi="Times New Roman" w:cs="Times New Roman"/>
          <w:color w:val="000000"/>
          <w:lang w:val="en-US"/>
        </w:rPr>
        <w:t xml:space="preserve"> sell positively.</w:t>
      </w:r>
    </w:p>
    <w:p w14:paraId="59DC3DFE" w14:textId="77777777" w:rsidR="00D67A31" w:rsidRPr="00D67A31"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000000"/>
          <w:lang w:val="en-US"/>
        </w:rPr>
      </w:pPr>
    </w:p>
    <w:p w14:paraId="665E94BF" w14:textId="0EA7AE25" w:rsidR="002B0A74" w:rsidRDefault="00D67A31" w:rsidP="00D67A31">
      <w:pPr>
        <w:autoSpaceDE w:val="0"/>
        <w:autoSpaceDN w:val="0"/>
        <w:adjustRightInd w:val="0"/>
        <w:spacing w:after="0" w:line="240" w:lineRule="auto"/>
        <w:ind w:leftChars="300" w:left="660" w:firstLineChars="50" w:firstLine="110"/>
        <w:rPr>
          <w:rFonts w:ascii="Times New Roman" w:hAnsi="Times New Roman" w:cs="Times New Roman"/>
          <w:color w:val="76933C"/>
          <w:lang w:val="en-US"/>
        </w:rPr>
      </w:pPr>
      <w:r w:rsidRPr="00D67A31">
        <w:rPr>
          <w:rFonts w:ascii="Times New Roman" w:hAnsi="Times New Roman" w:cs="Times New Roman"/>
          <w:color w:val="000000"/>
          <w:lang w:val="en-US"/>
        </w:rPr>
        <w:t>The above points show the requirements for using leather products for a long time. We hope to help extend the lifespan of leather products and promote reuse by this report.</w:t>
      </w:r>
    </w:p>
    <w:p w14:paraId="557D4B9C" w14:textId="77777777" w:rsidR="002B0A74" w:rsidRDefault="002B0A74">
      <w:pPr>
        <w:autoSpaceDE w:val="0"/>
        <w:autoSpaceDN w:val="0"/>
        <w:adjustRightInd w:val="0"/>
        <w:spacing w:after="0" w:line="240" w:lineRule="auto"/>
        <w:rPr>
          <w:rFonts w:ascii="TimesNewRomanPSMT" w:hAnsi="TimesNewRomanPSMT" w:cs="TimesNewRomanPSMT"/>
          <w:color w:val="76933C"/>
          <w:lang w:val="en-US"/>
        </w:rPr>
      </w:pPr>
    </w:p>
    <w:p w14:paraId="42CA92E9" w14:textId="4627819E" w:rsidR="002B0A74" w:rsidRDefault="00000000">
      <w:pPr>
        <w:pStyle w:val="a7"/>
        <w:numPr>
          <w:ilvl w:val="0"/>
          <w:numId w:val="1"/>
        </w:numPr>
        <w:autoSpaceDE w:val="0"/>
        <w:autoSpaceDN w:val="0"/>
        <w:adjustRightInd w:val="0"/>
        <w:spacing w:after="0" w:line="240" w:lineRule="auto"/>
        <w:rPr>
          <w:rFonts w:ascii="Times New Roman" w:hAnsi="Times New Roman" w:cs="Times New Roman"/>
          <w:color w:val="76933C"/>
          <w:sz w:val="24"/>
          <w:szCs w:val="24"/>
          <w:lang w:val="en-US"/>
        </w:rPr>
      </w:pPr>
      <w:r>
        <w:rPr>
          <w:rFonts w:ascii="Times New Roman" w:hAnsi="Times New Roman" w:cs="Times New Roman"/>
          <w:b/>
          <w:bCs/>
          <w:color w:val="000000"/>
          <w:sz w:val="24"/>
          <w:szCs w:val="24"/>
          <w:lang w:val="en-US"/>
        </w:rPr>
        <w:t>Acknowledgements</w:t>
      </w:r>
    </w:p>
    <w:p w14:paraId="7072DC6B" w14:textId="77777777" w:rsidR="002B0A74" w:rsidRDefault="002B0A74">
      <w:pPr>
        <w:pStyle w:val="a7"/>
        <w:autoSpaceDE w:val="0"/>
        <w:autoSpaceDN w:val="0"/>
        <w:adjustRightInd w:val="0"/>
        <w:spacing w:after="0" w:line="240" w:lineRule="auto"/>
        <w:rPr>
          <w:rFonts w:ascii="Times New Roman" w:hAnsi="Times New Roman" w:cs="Times New Roman"/>
          <w:color w:val="000000"/>
          <w:lang w:val="en-US"/>
        </w:rPr>
      </w:pPr>
    </w:p>
    <w:p w14:paraId="017EE4AB" w14:textId="74A46E5A" w:rsidR="002B0A74" w:rsidRDefault="006E4FFF" w:rsidP="006E4FFF">
      <w:pPr>
        <w:pStyle w:val="a7"/>
        <w:autoSpaceDE w:val="0"/>
        <w:autoSpaceDN w:val="0"/>
        <w:adjustRightInd w:val="0"/>
        <w:spacing w:after="0" w:line="240" w:lineRule="auto"/>
        <w:ind w:firstLineChars="50" w:firstLine="110"/>
        <w:rPr>
          <w:rFonts w:ascii="Times New Roman" w:hAnsi="Times New Roman" w:cs="Times New Roman"/>
          <w:color w:val="76933C"/>
          <w:lang w:val="en-US"/>
        </w:rPr>
      </w:pPr>
      <w:r w:rsidRPr="006E4FFF">
        <w:rPr>
          <w:rFonts w:ascii="Times New Roman" w:hAnsi="Times New Roman" w:cs="Times New Roman"/>
          <w:color w:val="000000"/>
          <w:lang w:val="en-US"/>
        </w:rPr>
        <w:t>I would like to thank customer service staff in every store for making honest records. I am grateful to the JALT staff for the support and discussion. This work was supported by NPO Japanese Association of Leather Technology (JALT).</w:t>
      </w:r>
    </w:p>
    <w:p w14:paraId="7C1727E5" w14:textId="77777777" w:rsidR="002B0A74" w:rsidRDefault="002B0A74">
      <w:pPr>
        <w:pStyle w:val="a7"/>
        <w:autoSpaceDE w:val="0"/>
        <w:autoSpaceDN w:val="0"/>
        <w:adjustRightInd w:val="0"/>
        <w:spacing w:after="0" w:line="240" w:lineRule="auto"/>
        <w:rPr>
          <w:rFonts w:ascii="Times New Roman" w:hAnsi="Times New Roman" w:cs="Times New Roman"/>
          <w:color w:val="76933C"/>
          <w:sz w:val="24"/>
          <w:szCs w:val="24"/>
          <w:lang w:val="en-US"/>
        </w:rPr>
      </w:pPr>
    </w:p>
    <w:p w14:paraId="1F6269BD" w14:textId="632A585F" w:rsidR="002B0A74" w:rsidRDefault="00000000">
      <w:pPr>
        <w:pStyle w:val="a7"/>
        <w:numPr>
          <w:ilvl w:val="0"/>
          <w:numId w:val="1"/>
        </w:numPr>
        <w:autoSpaceDE w:val="0"/>
        <w:autoSpaceDN w:val="0"/>
        <w:adjustRightInd w:val="0"/>
        <w:spacing w:after="0" w:line="240" w:lineRule="auto"/>
        <w:rPr>
          <w:rFonts w:ascii="TimesNewRomanPS-BoldMT" w:hAnsi="TimesNewRomanPS-BoldMT" w:cs="TimesNewRomanPS-BoldMT"/>
          <w:b/>
          <w:bCs/>
          <w:color w:val="76933C"/>
          <w:lang w:val="en-US"/>
        </w:rPr>
      </w:pPr>
      <w:r>
        <w:rPr>
          <w:rFonts w:ascii="TimesNewRomanPS-BoldMT" w:hAnsi="TimesNewRomanPS-BoldMT" w:cs="TimesNewRomanPS-BoldMT"/>
          <w:b/>
          <w:bCs/>
          <w:color w:val="000000"/>
          <w:sz w:val="24"/>
          <w:szCs w:val="24"/>
          <w:lang w:val="en-US"/>
        </w:rPr>
        <w:t>References</w:t>
      </w:r>
    </w:p>
    <w:p w14:paraId="1D7F4C1B" w14:textId="77777777" w:rsidR="002B0A74" w:rsidRDefault="002B0A74">
      <w:pPr>
        <w:pStyle w:val="a7"/>
        <w:autoSpaceDE w:val="0"/>
        <w:autoSpaceDN w:val="0"/>
        <w:adjustRightInd w:val="0"/>
        <w:spacing w:after="0" w:line="240" w:lineRule="auto"/>
        <w:rPr>
          <w:rFonts w:ascii="Times New Roman" w:hAnsi="Times New Roman" w:cs="Times New Roman"/>
          <w:color w:val="000000"/>
          <w:lang w:val="en-US"/>
        </w:rPr>
      </w:pPr>
    </w:p>
    <w:p w14:paraId="3797767C" w14:textId="3E435FA2" w:rsidR="002B0A74" w:rsidRPr="00125E0E" w:rsidRDefault="00883200" w:rsidP="00125E0E">
      <w:pPr>
        <w:pStyle w:val="a7"/>
        <w:autoSpaceDE w:val="0"/>
        <w:autoSpaceDN w:val="0"/>
        <w:adjustRightInd w:val="0"/>
        <w:spacing w:after="0" w:line="240" w:lineRule="auto"/>
        <w:ind w:firstLineChars="50" w:firstLine="110"/>
        <w:rPr>
          <w:rFonts w:ascii="Times New Roman" w:hAnsi="Times New Roman" w:cs="Times New Roman"/>
          <w:color w:val="000000"/>
          <w:lang w:val="en-US"/>
        </w:rPr>
      </w:pPr>
      <w:r w:rsidRPr="00125E0E">
        <w:rPr>
          <w:rFonts w:ascii="Times New Roman" w:hAnsi="Times New Roman" w:cs="Times New Roman"/>
          <w:color w:val="000000"/>
          <w:lang w:val="en-US"/>
        </w:rPr>
        <w:t xml:space="preserve">1. NPO Japanese Association of Leather Technology, Development and </w:t>
      </w:r>
      <w:r w:rsidR="00125E0E" w:rsidRPr="00125E0E">
        <w:rPr>
          <w:rFonts w:ascii="Times New Roman" w:hAnsi="Times New Roman" w:cs="Times New Roman"/>
          <w:color w:val="000000"/>
          <w:lang w:val="en-US"/>
        </w:rPr>
        <w:t xml:space="preserve">Practical Application </w:t>
      </w:r>
      <w:r w:rsidRPr="00125E0E">
        <w:rPr>
          <w:rFonts w:ascii="Times New Roman" w:hAnsi="Times New Roman" w:cs="Times New Roman"/>
          <w:color w:val="000000"/>
          <w:lang w:val="en-US"/>
        </w:rPr>
        <w:t>Reports of Japan Eco Leather</w:t>
      </w:r>
      <w:r w:rsidR="00125E0E" w:rsidRPr="00125E0E">
        <w:rPr>
          <w:rFonts w:ascii="Times New Roman" w:hAnsi="Times New Roman" w:cs="Times New Roman"/>
          <w:color w:val="000000"/>
          <w:lang w:val="en-US"/>
        </w:rPr>
        <w:t>, 59-70, 2023</w:t>
      </w:r>
    </w:p>
    <w:p w14:paraId="48A9423F" w14:textId="77777777" w:rsidR="002B0A74" w:rsidRDefault="002B0A74">
      <w:pPr>
        <w:pStyle w:val="a7"/>
        <w:autoSpaceDE w:val="0"/>
        <w:autoSpaceDN w:val="0"/>
        <w:adjustRightInd w:val="0"/>
        <w:spacing w:after="0" w:line="240" w:lineRule="auto"/>
        <w:rPr>
          <w:rFonts w:ascii="TimesNewRomanPSMT" w:hAnsi="TimesNewRomanPSMT" w:cs="TimesNewRomanPSMT"/>
          <w:color w:val="76933C"/>
          <w:lang w:val="en-US"/>
        </w:rPr>
      </w:pPr>
    </w:p>
    <w:p w14:paraId="3D898BB6" w14:textId="77777777" w:rsidR="008A1F0F" w:rsidRDefault="008A1F0F" w:rsidP="008A1F0F">
      <w:pPr>
        <w:autoSpaceDE w:val="0"/>
        <w:autoSpaceDN w:val="0"/>
        <w:adjustRightInd w:val="0"/>
        <w:spacing w:after="0" w:line="240" w:lineRule="auto"/>
        <w:jc w:val="both"/>
        <w:rPr>
          <w:rFonts w:ascii="Times New Roman" w:hAnsi="Times New Roman" w:cs="Times New Roman"/>
          <w:lang w:val="en-US"/>
        </w:rPr>
      </w:pPr>
    </w:p>
    <w:sectPr w:rsidR="008A1F0F">
      <w:headerReference w:type="default" r:id="rId26"/>
      <w:footerReference w:type="default" r:id="rId27"/>
      <w:pgSz w:w="11906" w:h="16838"/>
      <w:pgMar w:top="992" w:right="1134" w:bottom="1134" w:left="1134" w:header="0" w:footer="0" w:gutter="0"/>
      <w:cols w:space="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847504" w14:textId="77777777" w:rsidR="002A05D7" w:rsidRDefault="002A05D7">
      <w:pPr>
        <w:spacing w:line="240" w:lineRule="auto"/>
      </w:pPr>
      <w:r>
        <w:separator/>
      </w:r>
    </w:p>
  </w:endnote>
  <w:endnote w:type="continuationSeparator" w:id="0">
    <w:p w14:paraId="39D52E43" w14:textId="77777777" w:rsidR="002A05D7" w:rsidRDefault="002A05D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NewRomanPS-BoldMT">
    <w:altName w:val="Times New Roman"/>
    <w:charset w:val="00"/>
    <w:family w:val="swiss"/>
    <w:pitch w:val="default"/>
    <w:sig w:usb0="00000000" w:usb1="00000000" w:usb2="00000000" w:usb3="00000000" w:csb0="00000001" w:csb1="00000000"/>
  </w:font>
  <w:font w:name="TimesNewRomanPSMT">
    <w:altName w:val="Times New Roman"/>
    <w:charset w:val="00"/>
    <w:family w:val="swiss"/>
    <w:pitch w:val="default"/>
    <w:sig w:usb0="00000000" w:usb1="00000000" w:usb2="00000000" w:usb3="00000000" w:csb0="00000001" w:csb1="00000000"/>
  </w:font>
  <w:font w:name="Times-Bold">
    <w:altName w:val="Times New Roman"/>
    <w:charset w:val="00"/>
    <w:family w:val="swiss"/>
    <w:pitch w:val="default"/>
    <w:sig w:usb0="00000000" w:usb1="00000000" w:usb2="00000000" w:usb3="00000000" w:csb0="00000001" w:csb1="00000000"/>
  </w:font>
  <w:font w:name="Times-Roman">
    <w:altName w:val="Times New Roman"/>
    <w:charset w:val="00"/>
    <w:family w:val="auto"/>
    <w:pitch w:val="default"/>
    <w:sig w:usb0="00000000"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ED8AE" w14:textId="77777777" w:rsidR="002B0A74" w:rsidRDefault="00000000">
    <w:pPr>
      <w:pStyle w:val="a3"/>
      <w:spacing w:after="0"/>
      <w:rPr>
        <w:lang w:eastAsia="zh-CN"/>
      </w:rPr>
    </w:pPr>
    <w:r>
      <w:rPr>
        <w:rFonts w:hint="eastAsia"/>
        <w:noProof/>
        <w:lang w:eastAsia="zh-CN"/>
      </w:rPr>
      <w:drawing>
        <wp:anchor distT="0" distB="0" distL="114300" distR="114300" simplePos="0" relativeHeight="251659264" behindDoc="1" locked="0" layoutInCell="1" allowOverlap="1" wp14:anchorId="626A53CC" wp14:editId="7AEF2935">
          <wp:simplePos x="0" y="0"/>
          <wp:positionH relativeFrom="column">
            <wp:posOffset>-708050</wp:posOffset>
          </wp:positionH>
          <wp:positionV relativeFrom="paragraph">
            <wp:posOffset>-657174</wp:posOffset>
          </wp:positionV>
          <wp:extent cx="7570470" cy="1082675"/>
          <wp:effectExtent l="0" t="0" r="0" b="3175"/>
          <wp:wrapNone/>
          <wp:docPr id="2" name="图片 2" descr="F:\工作\2023\10月\页脚png.png页脚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工作\2023\10月\页脚png.png页脚png"/>
                  <pic:cNvPicPr>
                    <a:picLocks noChangeAspect="1"/>
                  </pic:cNvPicPr>
                </pic:nvPicPr>
                <pic:blipFill>
                  <a:blip r:embed="rId1"/>
                  <a:srcRect/>
                  <a:stretch>
                    <a:fillRect/>
                  </a:stretch>
                </pic:blipFill>
                <pic:spPr>
                  <a:xfrm>
                    <a:off x="0" y="0"/>
                    <a:ext cx="7570470" cy="1082675"/>
                  </a:xfrm>
                  <a:prstGeom prst="rect">
                    <a:avLst/>
                  </a:prstGeom>
                </pic:spPr>
              </pic:pic>
            </a:graphicData>
          </a:graphic>
        </wp:anchor>
      </w:drawing>
    </w:r>
  </w:p>
  <w:p w14:paraId="366B66D9" w14:textId="77777777" w:rsidR="002B0A74" w:rsidRDefault="002B0A74">
    <w:pPr>
      <w:pStyle w:val="a3"/>
      <w:ind w:leftChars="-515" w:left="-1133" w:rightChars="-515" w:right="-1133"/>
      <w:rPr>
        <w:lang w:eastAsia="zh-C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38E1BB" w14:textId="77777777" w:rsidR="002A05D7" w:rsidRDefault="002A05D7">
      <w:pPr>
        <w:spacing w:after="0"/>
      </w:pPr>
      <w:r>
        <w:separator/>
      </w:r>
    </w:p>
  </w:footnote>
  <w:footnote w:type="continuationSeparator" w:id="0">
    <w:p w14:paraId="564D594E" w14:textId="77777777" w:rsidR="002A05D7" w:rsidRDefault="002A05D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7A60B" w14:textId="77777777" w:rsidR="002B0A74" w:rsidRDefault="00000000">
    <w:pPr>
      <w:pStyle w:val="a3"/>
      <w:ind w:leftChars="-515" w:left="-1125" w:rightChars="-515" w:right="-1133" w:hanging="8"/>
      <w:rPr>
        <w:lang w:eastAsia="zh-CN"/>
      </w:rPr>
    </w:pPr>
    <w:r>
      <w:rPr>
        <w:rFonts w:hint="eastAsia"/>
        <w:noProof/>
        <w:lang w:eastAsia="zh-CN"/>
      </w:rPr>
      <w:drawing>
        <wp:inline distT="0" distB="0" distL="114300" distR="114300" wp14:anchorId="0216E1B9" wp14:editId="42DE3A2B">
          <wp:extent cx="7559040" cy="1100455"/>
          <wp:effectExtent l="0" t="0" r="10160" b="4445"/>
          <wp:docPr id="1" name="图片 1" descr="论文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论文页眉"/>
                  <pic:cNvPicPr>
                    <a:picLocks noChangeAspect="1"/>
                  </pic:cNvPicPr>
                </pic:nvPicPr>
                <pic:blipFill>
                  <a:blip r:embed="rId1"/>
                  <a:stretch>
                    <a:fillRect/>
                  </a:stretch>
                </pic:blipFill>
                <pic:spPr>
                  <a:xfrm>
                    <a:off x="0" y="0"/>
                    <a:ext cx="7559040" cy="110045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703707F"/>
    <w:multiLevelType w:val="multilevel"/>
    <w:tmpl w:val="7703707F"/>
    <w:lvl w:ilvl="0">
      <w:start w:val="1"/>
      <w:numFmt w:val="decimal"/>
      <w:lvlText w:val="%1."/>
      <w:lvlJc w:val="left"/>
      <w:pPr>
        <w:ind w:left="720" w:hanging="360"/>
      </w:pPr>
      <w:rPr>
        <w:rFonts w:hint="default"/>
        <w:b/>
        <w:bCs/>
        <w:color w:val="00000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1890223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708"/>
  <w:hyphenationZone w:val="283"/>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OTdlOGNiZDBhMzFlYTEwNWUwNmIzZjg4ZjNlZmY4ZTQifQ=="/>
  </w:docVars>
  <w:rsids>
    <w:rsidRoot w:val="00E87069"/>
    <w:rsid w:val="00032340"/>
    <w:rsid w:val="00050762"/>
    <w:rsid w:val="00064212"/>
    <w:rsid w:val="000E23ED"/>
    <w:rsid w:val="00113405"/>
    <w:rsid w:val="00125E0E"/>
    <w:rsid w:val="001C690A"/>
    <w:rsid w:val="002048E3"/>
    <w:rsid w:val="00246050"/>
    <w:rsid w:val="00284276"/>
    <w:rsid w:val="002A05D7"/>
    <w:rsid w:val="002B0A74"/>
    <w:rsid w:val="003676AE"/>
    <w:rsid w:val="004329F6"/>
    <w:rsid w:val="00443BAA"/>
    <w:rsid w:val="004634E2"/>
    <w:rsid w:val="00513EE8"/>
    <w:rsid w:val="00583986"/>
    <w:rsid w:val="005F5258"/>
    <w:rsid w:val="006E4FFF"/>
    <w:rsid w:val="006F729A"/>
    <w:rsid w:val="0070111F"/>
    <w:rsid w:val="00847D9F"/>
    <w:rsid w:val="00883200"/>
    <w:rsid w:val="008A1F0F"/>
    <w:rsid w:val="008B6DDD"/>
    <w:rsid w:val="00925BD0"/>
    <w:rsid w:val="009771BE"/>
    <w:rsid w:val="00A131C4"/>
    <w:rsid w:val="00A44013"/>
    <w:rsid w:val="00A6182B"/>
    <w:rsid w:val="00B12084"/>
    <w:rsid w:val="00B207BF"/>
    <w:rsid w:val="00B4066B"/>
    <w:rsid w:val="00B869B9"/>
    <w:rsid w:val="00BD33B9"/>
    <w:rsid w:val="00C42907"/>
    <w:rsid w:val="00CE2D68"/>
    <w:rsid w:val="00D67A31"/>
    <w:rsid w:val="00E44025"/>
    <w:rsid w:val="00E61772"/>
    <w:rsid w:val="00E8690B"/>
    <w:rsid w:val="00E87069"/>
    <w:rsid w:val="00EE0068"/>
    <w:rsid w:val="00EF1CFB"/>
    <w:rsid w:val="00FA6FA6"/>
    <w:rsid w:val="012B64AF"/>
    <w:rsid w:val="1C302ED2"/>
    <w:rsid w:val="20A86A04"/>
    <w:rsid w:val="55CB3602"/>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083D130"/>
  <w15:docId w15:val="{DD1EDEF0-D570-4C26-9EC1-BDFA7BF657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200" w:line="276" w:lineRule="auto"/>
    </w:pPr>
    <w:rPr>
      <w:sz w:val="22"/>
      <w:szCs w:val="22"/>
      <w:lang w:val="it-IT"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spacing w:line="240" w:lineRule="auto"/>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a7">
    <w:name w:val="List Paragraph"/>
    <w:basedOn w:val="a"/>
    <w:uiPriority w:val="34"/>
    <w:qFormat/>
    <w:pPr>
      <w:ind w:left="720"/>
      <w:contextualSpacing/>
    </w:pPr>
  </w:style>
  <w:style w:type="character" w:customStyle="1" w:styleId="a6">
    <w:name w:val="ヘッダー (文字)"/>
    <w:basedOn w:val="a0"/>
    <w:link w:val="a5"/>
    <w:uiPriority w:val="99"/>
    <w:qFormat/>
    <w:rPr>
      <w:sz w:val="18"/>
      <w:szCs w:val="18"/>
    </w:rPr>
  </w:style>
  <w:style w:type="character" w:customStyle="1" w:styleId="a4">
    <w:name w:val="フッター (文字)"/>
    <w:basedOn w:val="a0"/>
    <w:link w:val="a3"/>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6.xml"/><Relationship Id="rId18" Type="http://schemas.openxmlformats.org/officeDocument/2006/relationships/chart" Target="charts/chart10.xm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chart" Target="charts/chart13.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chart" Target="charts/chart9.xml"/><Relationship Id="rId25"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chart" Target="charts/chart12.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chart" Target="charts/chart8.xml"/><Relationship Id="rId23" Type="http://schemas.openxmlformats.org/officeDocument/2006/relationships/image" Target="media/image2.png"/><Relationship Id="rId28" Type="http://schemas.openxmlformats.org/officeDocument/2006/relationships/fontTable" Target="fontTable.xml"/><Relationship Id="rId10" Type="http://schemas.openxmlformats.org/officeDocument/2006/relationships/chart" Target="charts/chart3.xml"/><Relationship Id="rId19" Type="http://schemas.openxmlformats.org/officeDocument/2006/relationships/chart" Target="charts/chart1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chart" Target="charts/chart14.xml"/><Relationship Id="rId27"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G:\&#12510;&#12452;&#12489;&#12521;&#12452;&#12502;\2023&#24180;&#24230;&#29872;&#22659;&#23550;&#24540;&#38761;\20230203_IULTCS%20Data.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G:\&#12510;&#12452;&#12489;&#12521;&#12452;&#12502;\2023&#24180;&#24230;&#29872;&#22659;&#23550;&#24540;&#38761;\20230203_IULTCS%20Data.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G:\&#12510;&#12452;&#12489;&#12521;&#12452;&#12502;\2023&#24180;&#24230;&#29872;&#22659;&#23550;&#24540;&#38761;\20230203_IULTCS%20Data.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G:\&#12510;&#12452;&#12489;&#12521;&#12452;&#12502;\2023&#24180;&#24230;&#29872;&#22659;&#23550;&#24540;&#38761;\20230203_IULTCS%20Data.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G:\&#12510;&#12452;&#12489;&#12521;&#12452;&#12502;\2023&#24180;&#24230;&#29872;&#22659;&#23550;&#24540;&#38761;\20230203_IULTCS%20Data.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G:\&#12510;&#12452;&#12489;&#12521;&#12452;&#12502;\2023&#24180;&#24230;&#29872;&#22659;&#23550;&#24540;&#38761;\20230203_IULTCS%20Data.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G:\&#12510;&#12452;&#12489;&#12521;&#12452;&#12502;\2023&#24180;&#24230;&#29872;&#22659;&#23550;&#24540;&#38761;\20230203_IULTCS%20Data.xlsx" TargetMode="External"/><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oleObject" Target="file:///G:\&#12510;&#12452;&#12489;&#12521;&#12452;&#12502;\2023&#24180;&#24230;&#29872;&#22659;&#23550;&#24540;&#38761;\20230203_IULTCS%20Data.xlsx" TargetMode="External"/><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1" Type="http://schemas.openxmlformats.org/officeDocument/2006/relationships/oleObject" Target="file:///G:\&#12510;&#12452;&#12489;&#12521;&#12452;&#12502;\2023&#24180;&#24230;&#29872;&#22659;&#23550;&#24540;&#38761;\20230203_IULTCS%20Data.xlsx"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file:///G:\&#12510;&#12452;&#12489;&#12521;&#12452;&#12502;\2023&#24180;&#24230;&#29872;&#22659;&#23550;&#24540;&#38761;\20230203_IULTCS%20Data.xlsx" TargetMode="External"/><Relationship Id="rId2" Type="http://schemas.microsoft.com/office/2011/relationships/chartColorStyle" Target="colors3.xml"/><Relationship Id="rId1" Type="http://schemas.microsoft.com/office/2011/relationships/chartStyle" Target="style3.xml"/></Relationships>
</file>

<file path=word/charts/_rels/chart6.xml.rels><?xml version="1.0" encoding="UTF-8" standalone="yes"?>
<Relationships xmlns="http://schemas.openxmlformats.org/package/2006/relationships"><Relationship Id="rId1" Type="http://schemas.openxmlformats.org/officeDocument/2006/relationships/oleObject" Target="file:///G:\&#12510;&#12452;&#12489;&#12521;&#12452;&#12502;\2023&#24180;&#24230;&#29872;&#22659;&#23550;&#24540;&#38761;\20230203_IULTCS%20Data.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G:\&#12510;&#12452;&#12489;&#12521;&#12452;&#12502;\2023&#24180;&#24230;&#29872;&#22659;&#23550;&#24540;&#38761;\20230203_IULTCS%20Data.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G:\&#12510;&#12452;&#12489;&#12521;&#12452;&#12502;\2023&#24180;&#24230;&#29872;&#22659;&#23550;&#24540;&#38761;\20230203_IULTCS%20Data.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G:\&#12510;&#12452;&#12489;&#12521;&#12452;&#12502;\2023&#24180;&#24230;&#29872;&#22659;&#23550;&#24540;&#38761;\20230203_IULTCS%20Dat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ja-JP"/>
              <a:t>Composition</a:t>
            </a:r>
            <a:r>
              <a:rPr lang="en-US" altLang="ja-JP" baseline="0"/>
              <a:t> of items</a:t>
            </a:r>
            <a:endParaRPr lang="en" altLang="ja-JP"/>
          </a:p>
        </c:rich>
      </c:tx>
      <c:overlay val="0"/>
      <c:spPr>
        <a:noFill/>
        <a:ln>
          <a:noFill/>
        </a:ln>
        <a:effectLst/>
      </c:spPr>
    </c:title>
    <c:autoTitleDeleted val="0"/>
    <c:plotArea>
      <c:layout/>
      <c:doughnutChart>
        <c:varyColors val="1"/>
        <c:ser>
          <c:idx val="0"/>
          <c:order val="0"/>
          <c:tx>
            <c:strRef>
              <c:f>全体傾向!$D$1</c:f>
              <c:strCache>
                <c:ptCount val="1"/>
                <c:pt idx="0">
                  <c:v>個数 / 受付No</c:v>
                </c:pt>
              </c:strCache>
            </c:strRef>
          </c:tx>
          <c:spPr>
            <a:ln>
              <a:solidFill>
                <a:schemeClr val="tx1"/>
              </a:solidFill>
            </a:ln>
          </c:spPr>
          <c:dPt>
            <c:idx val="0"/>
            <c:bubble3D val="0"/>
            <c:spPr>
              <a:solidFill>
                <a:schemeClr val="dk1">
                  <a:tint val="88500"/>
                </a:schemeClr>
              </a:solidFill>
              <a:ln>
                <a:solidFill>
                  <a:schemeClr val="tx1"/>
                </a:solidFill>
              </a:ln>
              <a:effectLst/>
            </c:spPr>
            <c:extLst>
              <c:ext xmlns:c16="http://schemas.microsoft.com/office/drawing/2014/chart" uri="{C3380CC4-5D6E-409C-BE32-E72D297353CC}">
                <c16:uniqueId val="{00000001-D3F1-43EC-AEE2-7DAC522EFDED}"/>
              </c:ext>
            </c:extLst>
          </c:dPt>
          <c:dPt>
            <c:idx val="1"/>
            <c:bubble3D val="0"/>
            <c:spPr>
              <a:solidFill>
                <a:schemeClr val="dk1">
                  <a:tint val="55000"/>
                </a:schemeClr>
              </a:solidFill>
              <a:ln>
                <a:solidFill>
                  <a:schemeClr val="tx1"/>
                </a:solidFill>
              </a:ln>
              <a:effectLst/>
            </c:spPr>
            <c:extLst>
              <c:ext xmlns:c16="http://schemas.microsoft.com/office/drawing/2014/chart" uri="{C3380CC4-5D6E-409C-BE32-E72D297353CC}">
                <c16:uniqueId val="{00000003-D3F1-43EC-AEE2-7DAC522EFDED}"/>
              </c:ext>
            </c:extLst>
          </c:dPt>
          <c:dPt>
            <c:idx val="2"/>
            <c:bubble3D val="0"/>
            <c:spPr>
              <a:solidFill>
                <a:schemeClr val="dk1">
                  <a:tint val="75000"/>
                </a:schemeClr>
              </a:solidFill>
              <a:ln>
                <a:solidFill>
                  <a:schemeClr val="tx1"/>
                </a:solidFill>
              </a:ln>
              <a:effectLst/>
            </c:spPr>
            <c:extLst>
              <c:ext xmlns:c16="http://schemas.microsoft.com/office/drawing/2014/chart" uri="{C3380CC4-5D6E-409C-BE32-E72D297353CC}">
                <c16:uniqueId val="{00000005-D3F1-43EC-AEE2-7DAC522EFDED}"/>
              </c:ext>
            </c:extLst>
          </c:dPt>
          <c:dPt>
            <c:idx val="3"/>
            <c:bubble3D val="0"/>
            <c:spPr>
              <a:solidFill>
                <a:schemeClr val="dk1">
                  <a:tint val="98500"/>
                </a:schemeClr>
              </a:solidFill>
              <a:ln>
                <a:solidFill>
                  <a:schemeClr val="tx1"/>
                </a:solidFill>
              </a:ln>
              <a:effectLst/>
            </c:spPr>
            <c:extLst>
              <c:ext xmlns:c16="http://schemas.microsoft.com/office/drawing/2014/chart" uri="{C3380CC4-5D6E-409C-BE32-E72D297353CC}">
                <c16:uniqueId val="{00000007-D3F1-43EC-AEE2-7DAC522EFDED}"/>
              </c:ext>
            </c:extLst>
          </c:dPt>
          <c:dPt>
            <c:idx val="4"/>
            <c:bubble3D val="0"/>
            <c:spPr>
              <a:solidFill>
                <a:schemeClr val="dk1">
                  <a:tint val="30000"/>
                </a:schemeClr>
              </a:solidFill>
              <a:ln>
                <a:solidFill>
                  <a:schemeClr val="tx1"/>
                </a:solidFill>
              </a:ln>
              <a:effectLst/>
            </c:spPr>
            <c:extLst>
              <c:ext xmlns:c16="http://schemas.microsoft.com/office/drawing/2014/chart" uri="{C3380CC4-5D6E-409C-BE32-E72D297353CC}">
                <c16:uniqueId val="{00000009-D3F1-43EC-AEE2-7DAC522EFDED}"/>
              </c:ext>
            </c:extLst>
          </c:dPt>
          <c:dPt>
            <c:idx val="5"/>
            <c:bubble3D val="0"/>
            <c:spPr>
              <a:solidFill>
                <a:schemeClr val="dk1">
                  <a:tint val="60000"/>
                </a:schemeClr>
              </a:solidFill>
              <a:ln>
                <a:solidFill>
                  <a:schemeClr val="tx1"/>
                </a:solidFill>
              </a:ln>
              <a:effectLst/>
            </c:spPr>
            <c:extLst>
              <c:ext xmlns:c16="http://schemas.microsoft.com/office/drawing/2014/chart" uri="{C3380CC4-5D6E-409C-BE32-E72D297353CC}">
                <c16:uniqueId val="{0000000B-D3F1-43EC-AEE2-7DAC522EFDED}"/>
              </c:ext>
            </c:extLst>
          </c:dPt>
          <c:cat>
            <c:strRef>
              <c:f>全体傾向!$C$2:$C$6</c:f>
              <c:strCache>
                <c:ptCount val="5"/>
                <c:pt idx="0">
                  <c:v>50:Women's Shoes</c:v>
                </c:pt>
                <c:pt idx="1">
                  <c:v>55:Bags</c:v>
                </c:pt>
                <c:pt idx="2">
                  <c:v>51:Men's Shoes</c:v>
                </c:pt>
                <c:pt idx="3">
                  <c:v>58:Miscellaneous Goods</c:v>
                </c:pt>
                <c:pt idx="4">
                  <c:v>99:Others</c:v>
                </c:pt>
              </c:strCache>
            </c:strRef>
          </c:cat>
          <c:val>
            <c:numRef>
              <c:f>全体傾向!$D$2:$D$6</c:f>
              <c:numCache>
                <c:formatCode>General</c:formatCode>
                <c:ptCount val="5"/>
                <c:pt idx="0">
                  <c:v>2256</c:v>
                </c:pt>
                <c:pt idx="1">
                  <c:v>1628</c:v>
                </c:pt>
                <c:pt idx="2">
                  <c:v>463</c:v>
                </c:pt>
                <c:pt idx="3">
                  <c:v>304</c:v>
                </c:pt>
                <c:pt idx="4">
                  <c:v>442</c:v>
                </c:pt>
              </c:numCache>
            </c:numRef>
          </c:val>
          <c:extLst>
            <c:ext xmlns:c16="http://schemas.microsoft.com/office/drawing/2014/chart" uri="{C3380CC4-5D6E-409C-BE32-E72D297353CC}">
              <c16:uniqueId val="{0000000C-D3F1-43EC-AEE2-7DAC522EFDED}"/>
            </c:ext>
          </c:extLst>
        </c:ser>
        <c:dLbls>
          <c:showLegendKey val="0"/>
          <c:showVal val="0"/>
          <c:showCatName val="0"/>
          <c:showSerName val="0"/>
          <c:showPercent val="0"/>
          <c:showBubbleSize val="0"/>
          <c:showLeaderLines val="0"/>
        </c:dLbls>
        <c:firstSliceAng val="0"/>
        <c:holeSize val="50"/>
      </c:doughnutChart>
      <c:spPr>
        <a:noFill/>
        <a:ln>
          <a:noFill/>
        </a:ln>
        <a:effectLst/>
      </c:spPr>
    </c:plotArea>
    <c:legend>
      <c:legendPos val="r"/>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extLst/>
  </c:chart>
  <c:txPr>
    <a:bodyPr/>
    <a:lstStyle/>
    <a:p>
      <a:pPr>
        <a:defRPr/>
      </a:pPr>
      <a:endParaRPr lang="ja-JP"/>
    </a:p>
  </c:txPr>
  <c:externalData r:id="rId1">
    <c:autoUpdate val="0"/>
  </c:externalData>
  <c:userShapes r:id="rId2"/>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ja-JP"/>
              <a:t>Leather Bags</a:t>
            </a:r>
            <a:endParaRPr lang="ja-JP" altLang="en-US"/>
          </a:p>
        </c:rich>
      </c:tx>
      <c:overlay val="0"/>
      <c:spPr>
        <a:noFill/>
        <a:ln>
          <a:noFill/>
        </a:ln>
        <a:effectLst/>
      </c:spPr>
    </c:title>
    <c:autoTitleDeleted val="0"/>
    <c:plotArea>
      <c:layout/>
      <c:doughnutChart>
        <c:varyColors val="1"/>
        <c:ser>
          <c:idx val="0"/>
          <c:order val="0"/>
          <c:tx>
            <c:strRef>
              <c:f>図表バッグ!$K$36</c:f>
              <c:strCache>
                <c:ptCount val="1"/>
                <c:pt idx="0">
                  <c:v>総計</c:v>
                </c:pt>
              </c:strCache>
            </c:strRef>
          </c:tx>
          <c:spPr>
            <a:ln>
              <a:solidFill>
                <a:schemeClr val="tx1"/>
              </a:solidFill>
            </a:ln>
          </c:spPr>
          <c:dPt>
            <c:idx val="0"/>
            <c:bubble3D val="0"/>
            <c:spPr>
              <a:solidFill>
                <a:schemeClr val="dk1">
                  <a:tint val="88500"/>
                </a:schemeClr>
              </a:solidFill>
              <a:ln>
                <a:solidFill>
                  <a:schemeClr val="tx1"/>
                </a:solidFill>
              </a:ln>
              <a:effectLst/>
            </c:spPr>
            <c:extLst>
              <c:ext xmlns:c16="http://schemas.microsoft.com/office/drawing/2014/chart" uri="{C3380CC4-5D6E-409C-BE32-E72D297353CC}">
                <c16:uniqueId val="{00000001-8283-45BC-83E0-45CE7080AE1D}"/>
              </c:ext>
            </c:extLst>
          </c:dPt>
          <c:dPt>
            <c:idx val="1"/>
            <c:bubble3D val="0"/>
            <c:spPr>
              <a:solidFill>
                <a:schemeClr val="dk1">
                  <a:tint val="55000"/>
                </a:schemeClr>
              </a:solidFill>
              <a:ln>
                <a:solidFill>
                  <a:schemeClr val="tx1"/>
                </a:solidFill>
              </a:ln>
              <a:effectLst/>
            </c:spPr>
            <c:extLst>
              <c:ext xmlns:c16="http://schemas.microsoft.com/office/drawing/2014/chart" uri="{C3380CC4-5D6E-409C-BE32-E72D297353CC}">
                <c16:uniqueId val="{00000003-8283-45BC-83E0-45CE7080AE1D}"/>
              </c:ext>
            </c:extLst>
          </c:dPt>
          <c:dPt>
            <c:idx val="2"/>
            <c:bubble3D val="0"/>
            <c:spPr>
              <a:solidFill>
                <a:schemeClr val="dk1">
                  <a:tint val="75000"/>
                </a:schemeClr>
              </a:solidFill>
              <a:ln>
                <a:solidFill>
                  <a:schemeClr val="tx1"/>
                </a:solidFill>
              </a:ln>
              <a:effectLst/>
            </c:spPr>
            <c:extLst>
              <c:ext xmlns:c16="http://schemas.microsoft.com/office/drawing/2014/chart" uri="{C3380CC4-5D6E-409C-BE32-E72D297353CC}">
                <c16:uniqueId val="{00000005-8283-45BC-83E0-45CE7080AE1D}"/>
              </c:ext>
            </c:extLst>
          </c:dPt>
          <c:dPt>
            <c:idx val="3"/>
            <c:bubble3D val="0"/>
            <c:spPr>
              <a:solidFill>
                <a:schemeClr val="dk1">
                  <a:tint val="98500"/>
                </a:schemeClr>
              </a:solidFill>
              <a:ln>
                <a:solidFill>
                  <a:schemeClr val="tx1"/>
                </a:solidFill>
              </a:ln>
              <a:effectLst/>
            </c:spPr>
            <c:extLst>
              <c:ext xmlns:c16="http://schemas.microsoft.com/office/drawing/2014/chart" uri="{C3380CC4-5D6E-409C-BE32-E72D297353CC}">
                <c16:uniqueId val="{00000007-8283-45BC-83E0-45CE7080AE1D}"/>
              </c:ext>
            </c:extLst>
          </c:dPt>
          <c:dPt>
            <c:idx val="4"/>
            <c:bubble3D val="0"/>
            <c:spPr>
              <a:solidFill>
                <a:schemeClr val="dk1">
                  <a:tint val="30000"/>
                </a:schemeClr>
              </a:solidFill>
              <a:ln>
                <a:solidFill>
                  <a:schemeClr val="tx1"/>
                </a:solidFill>
              </a:ln>
              <a:effectLst/>
            </c:spPr>
            <c:extLst>
              <c:ext xmlns:c16="http://schemas.microsoft.com/office/drawing/2014/chart" uri="{C3380CC4-5D6E-409C-BE32-E72D297353CC}">
                <c16:uniqueId val="{00000009-8283-45BC-83E0-45CE7080AE1D}"/>
              </c:ext>
            </c:extLst>
          </c:dPt>
          <c:dPt>
            <c:idx val="5"/>
            <c:bubble3D val="0"/>
            <c:spPr>
              <a:solidFill>
                <a:schemeClr val="dk1">
                  <a:tint val="60000"/>
                </a:schemeClr>
              </a:solidFill>
              <a:ln>
                <a:solidFill>
                  <a:schemeClr val="tx1"/>
                </a:solidFill>
              </a:ln>
              <a:effectLst/>
            </c:spPr>
            <c:extLst>
              <c:ext xmlns:c16="http://schemas.microsoft.com/office/drawing/2014/chart" uri="{C3380CC4-5D6E-409C-BE32-E72D297353CC}">
                <c16:uniqueId val="{0000000B-8283-45BC-83E0-45CE7080AE1D}"/>
              </c:ext>
            </c:extLst>
          </c:dPt>
          <c:cat>
            <c:strRef>
              <c:f>図表バッグ!$J$37:$J$42</c:f>
              <c:strCache>
                <c:ptCount val="6"/>
                <c:pt idx="0">
                  <c:v>212:Discolored</c:v>
                </c:pt>
                <c:pt idx="1">
                  <c:v>213:Softened</c:v>
                </c:pt>
                <c:pt idx="2">
                  <c:v>211:Color Fading</c:v>
                </c:pt>
                <c:pt idx="3">
                  <c:v>231:Surface - Cracked</c:v>
                </c:pt>
                <c:pt idx="4">
                  <c:v>234:Detouched</c:v>
                </c:pt>
                <c:pt idx="5">
                  <c:v>999:Others</c:v>
                </c:pt>
              </c:strCache>
            </c:strRef>
          </c:cat>
          <c:val>
            <c:numRef>
              <c:f>図表バッグ!$K$37:$K$42</c:f>
              <c:numCache>
                <c:formatCode>General</c:formatCode>
                <c:ptCount val="6"/>
                <c:pt idx="0">
                  <c:v>22</c:v>
                </c:pt>
                <c:pt idx="1">
                  <c:v>20</c:v>
                </c:pt>
                <c:pt idx="2">
                  <c:v>9</c:v>
                </c:pt>
                <c:pt idx="3">
                  <c:v>7</c:v>
                </c:pt>
                <c:pt idx="4">
                  <c:v>6</c:v>
                </c:pt>
                <c:pt idx="5">
                  <c:v>28</c:v>
                </c:pt>
              </c:numCache>
            </c:numRef>
          </c:val>
          <c:extLst>
            <c:ext xmlns:c16="http://schemas.microsoft.com/office/drawing/2014/chart" uri="{C3380CC4-5D6E-409C-BE32-E72D297353CC}">
              <c16:uniqueId val="{0000000C-8283-45BC-83E0-45CE7080AE1D}"/>
            </c:ext>
          </c:extLst>
        </c:ser>
        <c:dLbls>
          <c:showLegendKey val="0"/>
          <c:showVal val="0"/>
          <c:showCatName val="0"/>
          <c:showSerName val="0"/>
          <c:showPercent val="0"/>
          <c:showBubbleSize val="0"/>
          <c:showLeaderLines val="0"/>
        </c:dLbls>
        <c:firstSliceAng val="0"/>
        <c:holeSize val="50"/>
      </c:doughnutChart>
      <c:spPr>
        <a:noFill/>
        <a:ln>
          <a:noFill/>
        </a:ln>
        <a:effectLst/>
      </c:spPr>
    </c:plotArea>
    <c:legend>
      <c:legendPos val="r"/>
      <c:layout>
        <c:manualLayout>
          <c:xMode val="edge"/>
          <c:yMode val="edge"/>
          <c:x val="0.61534295713035869"/>
          <c:y val="0.18544316575812639"/>
          <c:w val="0.36799037620297465"/>
          <c:h val="0.80151769490352165"/>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extLst/>
  </c:chart>
  <c:spPr>
    <a:solidFill>
      <a:schemeClr val="bg1"/>
    </a:solidFill>
    <a:ln w="6350" cap="flat" cmpd="sng" algn="ctr">
      <a:noFill/>
      <a:prstDash val="solid"/>
      <a:round/>
    </a:ln>
    <a:effectLst/>
  </c:spPr>
  <c:txPr>
    <a:bodyPr/>
    <a:lstStyle/>
    <a:p>
      <a:pPr>
        <a:defRPr/>
      </a:pPr>
      <a:endParaRPr lang="ja-JP"/>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ja-JP"/>
              <a:t>Synthetic Bags</a:t>
            </a:r>
            <a:endParaRPr lang="ja-JP" altLang="en-US"/>
          </a:p>
        </c:rich>
      </c:tx>
      <c:overlay val="0"/>
      <c:spPr>
        <a:noFill/>
        <a:ln>
          <a:noFill/>
        </a:ln>
        <a:effectLst/>
      </c:spPr>
    </c:title>
    <c:autoTitleDeleted val="0"/>
    <c:plotArea>
      <c:layout/>
      <c:doughnutChart>
        <c:varyColors val="1"/>
        <c:ser>
          <c:idx val="0"/>
          <c:order val="0"/>
          <c:tx>
            <c:strRef>
              <c:f>図表バッグ!$K$59</c:f>
              <c:strCache>
                <c:ptCount val="1"/>
                <c:pt idx="0">
                  <c:v>総計</c:v>
                </c:pt>
              </c:strCache>
            </c:strRef>
          </c:tx>
          <c:spPr>
            <a:ln>
              <a:solidFill>
                <a:schemeClr val="tx1"/>
              </a:solidFill>
            </a:ln>
          </c:spPr>
          <c:dPt>
            <c:idx val="0"/>
            <c:bubble3D val="0"/>
            <c:spPr>
              <a:solidFill>
                <a:schemeClr val="dk1">
                  <a:tint val="88500"/>
                </a:schemeClr>
              </a:solidFill>
              <a:ln>
                <a:solidFill>
                  <a:schemeClr val="tx1"/>
                </a:solidFill>
              </a:ln>
              <a:effectLst/>
            </c:spPr>
            <c:extLst>
              <c:ext xmlns:c16="http://schemas.microsoft.com/office/drawing/2014/chart" uri="{C3380CC4-5D6E-409C-BE32-E72D297353CC}">
                <c16:uniqueId val="{00000001-D198-46B4-9259-74772C9291C3}"/>
              </c:ext>
            </c:extLst>
          </c:dPt>
          <c:dPt>
            <c:idx val="1"/>
            <c:bubble3D val="0"/>
            <c:spPr>
              <a:solidFill>
                <a:schemeClr val="dk1">
                  <a:tint val="55000"/>
                </a:schemeClr>
              </a:solidFill>
              <a:ln>
                <a:solidFill>
                  <a:schemeClr val="tx1"/>
                </a:solidFill>
              </a:ln>
              <a:effectLst/>
            </c:spPr>
            <c:extLst>
              <c:ext xmlns:c16="http://schemas.microsoft.com/office/drawing/2014/chart" uri="{C3380CC4-5D6E-409C-BE32-E72D297353CC}">
                <c16:uniqueId val="{00000003-D198-46B4-9259-74772C9291C3}"/>
              </c:ext>
            </c:extLst>
          </c:dPt>
          <c:dPt>
            <c:idx val="2"/>
            <c:bubble3D val="0"/>
            <c:spPr>
              <a:solidFill>
                <a:schemeClr val="dk1">
                  <a:tint val="75000"/>
                </a:schemeClr>
              </a:solidFill>
              <a:ln>
                <a:solidFill>
                  <a:schemeClr val="tx1"/>
                </a:solidFill>
              </a:ln>
              <a:effectLst/>
            </c:spPr>
            <c:extLst>
              <c:ext xmlns:c16="http://schemas.microsoft.com/office/drawing/2014/chart" uri="{C3380CC4-5D6E-409C-BE32-E72D297353CC}">
                <c16:uniqueId val="{00000005-D198-46B4-9259-74772C9291C3}"/>
              </c:ext>
            </c:extLst>
          </c:dPt>
          <c:dPt>
            <c:idx val="3"/>
            <c:bubble3D val="0"/>
            <c:spPr>
              <a:solidFill>
                <a:schemeClr val="dk1">
                  <a:tint val="98500"/>
                </a:schemeClr>
              </a:solidFill>
              <a:ln>
                <a:solidFill>
                  <a:schemeClr val="tx1"/>
                </a:solidFill>
              </a:ln>
              <a:effectLst/>
            </c:spPr>
            <c:extLst>
              <c:ext xmlns:c16="http://schemas.microsoft.com/office/drawing/2014/chart" uri="{C3380CC4-5D6E-409C-BE32-E72D297353CC}">
                <c16:uniqueId val="{00000007-D198-46B4-9259-74772C9291C3}"/>
              </c:ext>
            </c:extLst>
          </c:dPt>
          <c:dPt>
            <c:idx val="4"/>
            <c:bubble3D val="0"/>
            <c:spPr>
              <a:solidFill>
                <a:schemeClr val="dk1">
                  <a:tint val="30000"/>
                </a:schemeClr>
              </a:solidFill>
              <a:ln>
                <a:solidFill>
                  <a:schemeClr val="tx1"/>
                </a:solidFill>
              </a:ln>
              <a:effectLst/>
            </c:spPr>
            <c:extLst>
              <c:ext xmlns:c16="http://schemas.microsoft.com/office/drawing/2014/chart" uri="{C3380CC4-5D6E-409C-BE32-E72D297353CC}">
                <c16:uniqueId val="{00000009-D198-46B4-9259-74772C9291C3}"/>
              </c:ext>
            </c:extLst>
          </c:dPt>
          <c:dPt>
            <c:idx val="5"/>
            <c:bubble3D val="0"/>
            <c:spPr>
              <a:solidFill>
                <a:schemeClr val="dk1">
                  <a:tint val="60000"/>
                </a:schemeClr>
              </a:solidFill>
              <a:ln>
                <a:solidFill>
                  <a:schemeClr val="tx1"/>
                </a:solidFill>
              </a:ln>
              <a:effectLst/>
            </c:spPr>
            <c:extLst>
              <c:ext xmlns:c16="http://schemas.microsoft.com/office/drawing/2014/chart" uri="{C3380CC4-5D6E-409C-BE32-E72D297353CC}">
                <c16:uniqueId val="{0000000B-D198-46B4-9259-74772C9291C3}"/>
              </c:ext>
            </c:extLst>
          </c:dPt>
          <c:cat>
            <c:strRef>
              <c:f>図表バッグ!$J$60:$J$65</c:f>
              <c:strCache>
                <c:ptCount val="6"/>
                <c:pt idx="0">
                  <c:v>231:Surface - Craked</c:v>
                </c:pt>
                <c:pt idx="1">
                  <c:v>213:Softened</c:v>
                </c:pt>
                <c:pt idx="2">
                  <c:v>234:Detouched</c:v>
                </c:pt>
                <c:pt idx="3">
                  <c:v>212:Discolored</c:v>
                </c:pt>
                <c:pt idx="4">
                  <c:v>233:Linings - Broken</c:v>
                </c:pt>
                <c:pt idx="5">
                  <c:v>999:Others</c:v>
                </c:pt>
              </c:strCache>
            </c:strRef>
          </c:cat>
          <c:val>
            <c:numRef>
              <c:f>図表バッグ!$K$60:$K$65</c:f>
              <c:numCache>
                <c:formatCode>General</c:formatCode>
                <c:ptCount val="6"/>
                <c:pt idx="0">
                  <c:v>51</c:v>
                </c:pt>
                <c:pt idx="1">
                  <c:v>11</c:v>
                </c:pt>
                <c:pt idx="2">
                  <c:v>5</c:v>
                </c:pt>
                <c:pt idx="3">
                  <c:v>5</c:v>
                </c:pt>
                <c:pt idx="4">
                  <c:v>4</c:v>
                </c:pt>
                <c:pt idx="5">
                  <c:v>9</c:v>
                </c:pt>
              </c:numCache>
            </c:numRef>
          </c:val>
          <c:extLst>
            <c:ext xmlns:c16="http://schemas.microsoft.com/office/drawing/2014/chart" uri="{C3380CC4-5D6E-409C-BE32-E72D297353CC}">
              <c16:uniqueId val="{0000000C-D198-46B4-9259-74772C9291C3}"/>
            </c:ext>
          </c:extLst>
        </c:ser>
        <c:dLbls>
          <c:showLegendKey val="0"/>
          <c:showVal val="0"/>
          <c:showCatName val="0"/>
          <c:showSerName val="0"/>
          <c:showPercent val="0"/>
          <c:showBubbleSize val="0"/>
          <c:showLeaderLines val="0"/>
        </c:dLbls>
        <c:firstSliceAng val="0"/>
        <c:holeSize val="50"/>
      </c:doughnutChart>
      <c:spPr>
        <a:noFill/>
        <a:ln>
          <a:noFill/>
        </a:ln>
        <a:effectLst/>
      </c:spPr>
    </c:plotArea>
    <c:legend>
      <c:legendPos val="r"/>
      <c:layout>
        <c:manualLayout>
          <c:xMode val="edge"/>
          <c:yMode val="edge"/>
          <c:x val="0.61534295713035869"/>
          <c:y val="0.19041300871873773"/>
          <c:w val="0.36799037620297465"/>
          <c:h val="0.7872833137237155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extLst/>
  </c:chart>
  <c:spPr>
    <a:solidFill>
      <a:schemeClr val="bg1"/>
    </a:solidFill>
    <a:ln w="6350" cap="flat" cmpd="sng" algn="ctr">
      <a:noFill/>
      <a:prstDash val="solid"/>
      <a:round/>
    </a:ln>
    <a:effectLst/>
  </c:spPr>
  <c:txPr>
    <a:bodyPr/>
    <a:lstStyle/>
    <a:p>
      <a:pPr>
        <a:defRPr/>
      </a:pPr>
      <a:endParaRPr lang="ja-JP"/>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ja-JP"/>
              <a:t>Textile Bags</a:t>
            </a:r>
          </a:p>
        </c:rich>
      </c:tx>
      <c:overlay val="0"/>
      <c:spPr>
        <a:noFill/>
        <a:ln>
          <a:noFill/>
        </a:ln>
        <a:effectLst/>
      </c:spPr>
    </c:title>
    <c:autoTitleDeleted val="0"/>
    <c:plotArea>
      <c:layout/>
      <c:doughnutChart>
        <c:varyColors val="1"/>
        <c:ser>
          <c:idx val="0"/>
          <c:order val="0"/>
          <c:tx>
            <c:strRef>
              <c:f>図表バッグ!$K$81</c:f>
              <c:strCache>
                <c:ptCount val="1"/>
                <c:pt idx="0">
                  <c:v>総計</c:v>
                </c:pt>
              </c:strCache>
            </c:strRef>
          </c:tx>
          <c:spPr>
            <a:ln>
              <a:solidFill>
                <a:schemeClr val="tx1"/>
              </a:solidFill>
            </a:ln>
          </c:spPr>
          <c:dPt>
            <c:idx val="0"/>
            <c:bubble3D val="0"/>
            <c:spPr>
              <a:solidFill>
                <a:schemeClr val="dk1">
                  <a:tint val="88500"/>
                </a:schemeClr>
              </a:solidFill>
              <a:ln>
                <a:solidFill>
                  <a:schemeClr val="tx1"/>
                </a:solidFill>
              </a:ln>
              <a:effectLst/>
            </c:spPr>
            <c:extLst>
              <c:ext xmlns:c16="http://schemas.microsoft.com/office/drawing/2014/chart" uri="{C3380CC4-5D6E-409C-BE32-E72D297353CC}">
                <c16:uniqueId val="{00000001-60CC-42C3-988E-8ED65587E266}"/>
              </c:ext>
            </c:extLst>
          </c:dPt>
          <c:dPt>
            <c:idx val="1"/>
            <c:bubble3D val="0"/>
            <c:spPr>
              <a:solidFill>
                <a:schemeClr val="dk1">
                  <a:tint val="55000"/>
                </a:schemeClr>
              </a:solidFill>
              <a:ln>
                <a:solidFill>
                  <a:schemeClr val="tx1"/>
                </a:solidFill>
              </a:ln>
              <a:effectLst/>
            </c:spPr>
            <c:extLst>
              <c:ext xmlns:c16="http://schemas.microsoft.com/office/drawing/2014/chart" uri="{C3380CC4-5D6E-409C-BE32-E72D297353CC}">
                <c16:uniqueId val="{00000003-60CC-42C3-988E-8ED65587E266}"/>
              </c:ext>
            </c:extLst>
          </c:dPt>
          <c:dPt>
            <c:idx val="2"/>
            <c:bubble3D val="0"/>
            <c:spPr>
              <a:solidFill>
                <a:schemeClr val="dk1">
                  <a:tint val="75000"/>
                </a:schemeClr>
              </a:solidFill>
              <a:ln>
                <a:solidFill>
                  <a:schemeClr val="tx1"/>
                </a:solidFill>
              </a:ln>
              <a:effectLst/>
            </c:spPr>
            <c:extLst>
              <c:ext xmlns:c16="http://schemas.microsoft.com/office/drawing/2014/chart" uri="{C3380CC4-5D6E-409C-BE32-E72D297353CC}">
                <c16:uniqueId val="{00000005-60CC-42C3-988E-8ED65587E266}"/>
              </c:ext>
            </c:extLst>
          </c:dPt>
          <c:dPt>
            <c:idx val="3"/>
            <c:bubble3D val="0"/>
            <c:spPr>
              <a:solidFill>
                <a:schemeClr val="dk1">
                  <a:tint val="98500"/>
                </a:schemeClr>
              </a:solidFill>
              <a:ln>
                <a:solidFill>
                  <a:schemeClr val="tx1"/>
                </a:solidFill>
              </a:ln>
              <a:effectLst/>
            </c:spPr>
            <c:extLst>
              <c:ext xmlns:c16="http://schemas.microsoft.com/office/drawing/2014/chart" uri="{C3380CC4-5D6E-409C-BE32-E72D297353CC}">
                <c16:uniqueId val="{00000007-60CC-42C3-988E-8ED65587E266}"/>
              </c:ext>
            </c:extLst>
          </c:dPt>
          <c:dPt>
            <c:idx val="4"/>
            <c:bubble3D val="0"/>
            <c:spPr>
              <a:solidFill>
                <a:schemeClr val="dk1">
                  <a:tint val="30000"/>
                </a:schemeClr>
              </a:solidFill>
              <a:ln>
                <a:solidFill>
                  <a:schemeClr val="tx1"/>
                </a:solidFill>
              </a:ln>
              <a:effectLst/>
            </c:spPr>
            <c:extLst>
              <c:ext xmlns:c16="http://schemas.microsoft.com/office/drawing/2014/chart" uri="{C3380CC4-5D6E-409C-BE32-E72D297353CC}">
                <c16:uniqueId val="{00000009-60CC-42C3-988E-8ED65587E266}"/>
              </c:ext>
            </c:extLst>
          </c:dPt>
          <c:dPt>
            <c:idx val="5"/>
            <c:bubble3D val="0"/>
            <c:spPr>
              <a:solidFill>
                <a:schemeClr val="dk1">
                  <a:tint val="60000"/>
                </a:schemeClr>
              </a:solidFill>
              <a:ln>
                <a:solidFill>
                  <a:schemeClr val="tx1"/>
                </a:solidFill>
              </a:ln>
              <a:effectLst/>
            </c:spPr>
            <c:extLst>
              <c:ext xmlns:c16="http://schemas.microsoft.com/office/drawing/2014/chart" uri="{C3380CC4-5D6E-409C-BE32-E72D297353CC}">
                <c16:uniqueId val="{0000000B-60CC-42C3-988E-8ED65587E266}"/>
              </c:ext>
            </c:extLst>
          </c:dPt>
          <c:cat>
            <c:strRef>
              <c:f>図表バッグ!$J$82:$J$87</c:f>
              <c:strCache>
                <c:ptCount val="6"/>
                <c:pt idx="0">
                  <c:v>212:Discoored</c:v>
                </c:pt>
                <c:pt idx="1">
                  <c:v>232:Body - Broken</c:v>
                </c:pt>
                <c:pt idx="2">
                  <c:v>281:Miscellaneous Parts</c:v>
                </c:pt>
                <c:pt idx="3">
                  <c:v>213:Softened</c:v>
                </c:pt>
                <c:pt idx="4">
                  <c:v>249:Deformation</c:v>
                </c:pt>
                <c:pt idx="5">
                  <c:v>999:Others</c:v>
                </c:pt>
              </c:strCache>
            </c:strRef>
          </c:cat>
          <c:val>
            <c:numRef>
              <c:f>図表バッグ!$K$82:$K$87</c:f>
              <c:numCache>
                <c:formatCode>General</c:formatCode>
                <c:ptCount val="6"/>
                <c:pt idx="0">
                  <c:v>16</c:v>
                </c:pt>
                <c:pt idx="1">
                  <c:v>8</c:v>
                </c:pt>
                <c:pt idx="2">
                  <c:v>6</c:v>
                </c:pt>
                <c:pt idx="3">
                  <c:v>4</c:v>
                </c:pt>
                <c:pt idx="4">
                  <c:v>4</c:v>
                </c:pt>
                <c:pt idx="5">
                  <c:v>13</c:v>
                </c:pt>
              </c:numCache>
            </c:numRef>
          </c:val>
          <c:extLst>
            <c:ext xmlns:c16="http://schemas.microsoft.com/office/drawing/2014/chart" uri="{C3380CC4-5D6E-409C-BE32-E72D297353CC}">
              <c16:uniqueId val="{0000000C-60CC-42C3-988E-8ED65587E266}"/>
            </c:ext>
          </c:extLst>
        </c:ser>
        <c:dLbls>
          <c:showLegendKey val="0"/>
          <c:showVal val="0"/>
          <c:showCatName val="0"/>
          <c:showSerName val="0"/>
          <c:showPercent val="0"/>
          <c:showBubbleSize val="0"/>
          <c:showLeaderLines val="0"/>
        </c:dLbls>
        <c:firstSliceAng val="0"/>
        <c:holeSize val="50"/>
      </c:doughnutChart>
      <c:spPr>
        <a:noFill/>
        <a:ln>
          <a:noFill/>
        </a:ln>
        <a:effectLst/>
      </c:spPr>
    </c:plotArea>
    <c:legend>
      <c:legendPos val="r"/>
      <c:layout>
        <c:manualLayout>
          <c:xMode val="edge"/>
          <c:yMode val="edge"/>
          <c:x val="0.61256517935258092"/>
          <c:y val="0.17109634733158355"/>
          <c:w val="0.36799037620297465"/>
          <c:h val="0.81713637357830271"/>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extLst/>
  </c:chart>
  <c:spPr>
    <a:solidFill>
      <a:schemeClr val="bg1"/>
    </a:solidFill>
    <a:ln w="6350" cap="flat" cmpd="sng" algn="ctr">
      <a:noFill/>
      <a:prstDash val="solid"/>
      <a:round/>
    </a:ln>
    <a:effectLst/>
  </c:spPr>
  <c:txPr>
    <a:bodyPr/>
    <a:lstStyle/>
    <a:p>
      <a:pPr>
        <a:defRPr/>
      </a:pPr>
      <a:endParaRPr lang="ja-JP"/>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ja-JP"/>
              <a:t>Metal</a:t>
            </a:r>
            <a:r>
              <a:rPr lang="en-US" altLang="ja-JP" baseline="0"/>
              <a:t> Parts of Bags</a:t>
            </a:r>
            <a:endParaRPr lang="ja-JP" altLang="en-US"/>
          </a:p>
        </c:rich>
      </c:tx>
      <c:overlay val="0"/>
      <c:spPr>
        <a:noFill/>
        <a:ln>
          <a:noFill/>
        </a:ln>
        <a:effectLst/>
      </c:spPr>
    </c:title>
    <c:autoTitleDeleted val="0"/>
    <c:plotArea>
      <c:layout/>
      <c:doughnutChart>
        <c:varyColors val="1"/>
        <c:ser>
          <c:idx val="0"/>
          <c:order val="0"/>
          <c:tx>
            <c:strRef>
              <c:f>図表バッグ!$I$99</c:f>
              <c:strCache>
                <c:ptCount val="1"/>
                <c:pt idx="0">
                  <c:v>総計</c:v>
                </c:pt>
              </c:strCache>
            </c:strRef>
          </c:tx>
          <c:spPr>
            <a:ln>
              <a:solidFill>
                <a:schemeClr val="tx1"/>
              </a:solidFill>
            </a:ln>
          </c:spPr>
          <c:dPt>
            <c:idx val="0"/>
            <c:bubble3D val="0"/>
            <c:spPr>
              <a:solidFill>
                <a:schemeClr val="dk1">
                  <a:tint val="88500"/>
                </a:schemeClr>
              </a:solidFill>
              <a:ln>
                <a:solidFill>
                  <a:schemeClr val="tx1"/>
                </a:solidFill>
              </a:ln>
              <a:effectLst/>
            </c:spPr>
            <c:extLst>
              <c:ext xmlns:c16="http://schemas.microsoft.com/office/drawing/2014/chart" uri="{C3380CC4-5D6E-409C-BE32-E72D297353CC}">
                <c16:uniqueId val="{00000001-F963-4CF5-9F39-86F743EE9FD0}"/>
              </c:ext>
            </c:extLst>
          </c:dPt>
          <c:dPt>
            <c:idx val="1"/>
            <c:bubble3D val="0"/>
            <c:spPr>
              <a:solidFill>
                <a:schemeClr val="dk1">
                  <a:tint val="55000"/>
                </a:schemeClr>
              </a:solidFill>
              <a:ln>
                <a:solidFill>
                  <a:schemeClr val="tx1"/>
                </a:solidFill>
              </a:ln>
              <a:effectLst/>
            </c:spPr>
            <c:extLst>
              <c:ext xmlns:c16="http://schemas.microsoft.com/office/drawing/2014/chart" uri="{C3380CC4-5D6E-409C-BE32-E72D297353CC}">
                <c16:uniqueId val="{00000003-F963-4CF5-9F39-86F743EE9FD0}"/>
              </c:ext>
            </c:extLst>
          </c:dPt>
          <c:dPt>
            <c:idx val="2"/>
            <c:bubble3D val="0"/>
            <c:spPr>
              <a:solidFill>
                <a:schemeClr val="dk1">
                  <a:tint val="75000"/>
                </a:schemeClr>
              </a:solidFill>
              <a:ln>
                <a:solidFill>
                  <a:schemeClr val="tx1"/>
                </a:solidFill>
              </a:ln>
              <a:effectLst/>
            </c:spPr>
            <c:extLst>
              <c:ext xmlns:c16="http://schemas.microsoft.com/office/drawing/2014/chart" uri="{C3380CC4-5D6E-409C-BE32-E72D297353CC}">
                <c16:uniqueId val="{00000005-F963-4CF5-9F39-86F743EE9FD0}"/>
              </c:ext>
            </c:extLst>
          </c:dPt>
          <c:dPt>
            <c:idx val="3"/>
            <c:bubble3D val="0"/>
            <c:spPr>
              <a:solidFill>
                <a:schemeClr val="dk1">
                  <a:tint val="98500"/>
                </a:schemeClr>
              </a:solidFill>
              <a:ln>
                <a:solidFill>
                  <a:schemeClr val="tx1"/>
                </a:solidFill>
              </a:ln>
              <a:effectLst/>
            </c:spPr>
            <c:extLst>
              <c:ext xmlns:c16="http://schemas.microsoft.com/office/drawing/2014/chart" uri="{C3380CC4-5D6E-409C-BE32-E72D297353CC}">
                <c16:uniqueId val="{00000007-F963-4CF5-9F39-86F743EE9FD0}"/>
              </c:ext>
            </c:extLst>
          </c:dPt>
          <c:dPt>
            <c:idx val="4"/>
            <c:bubble3D val="0"/>
            <c:spPr>
              <a:solidFill>
                <a:schemeClr val="dk1">
                  <a:tint val="30000"/>
                </a:schemeClr>
              </a:solidFill>
              <a:ln>
                <a:solidFill>
                  <a:schemeClr val="tx1"/>
                </a:solidFill>
              </a:ln>
              <a:effectLst/>
            </c:spPr>
            <c:extLst>
              <c:ext xmlns:c16="http://schemas.microsoft.com/office/drawing/2014/chart" uri="{C3380CC4-5D6E-409C-BE32-E72D297353CC}">
                <c16:uniqueId val="{00000009-F963-4CF5-9F39-86F743EE9FD0}"/>
              </c:ext>
            </c:extLst>
          </c:dPt>
          <c:dPt>
            <c:idx val="5"/>
            <c:bubble3D val="0"/>
            <c:spPr>
              <a:solidFill>
                <a:schemeClr val="dk1">
                  <a:tint val="60000"/>
                </a:schemeClr>
              </a:solidFill>
              <a:ln>
                <a:solidFill>
                  <a:schemeClr val="tx1"/>
                </a:solidFill>
              </a:ln>
              <a:effectLst/>
            </c:spPr>
            <c:extLst>
              <c:ext xmlns:c16="http://schemas.microsoft.com/office/drawing/2014/chart" uri="{C3380CC4-5D6E-409C-BE32-E72D297353CC}">
                <c16:uniqueId val="{0000000B-F963-4CF5-9F39-86F743EE9FD0}"/>
              </c:ext>
            </c:extLst>
          </c:dPt>
          <c:cat>
            <c:strRef>
              <c:f>図表バッグ!$H$100:$H$103</c:f>
              <c:strCache>
                <c:ptCount val="4"/>
                <c:pt idx="0">
                  <c:v>281:Miscellaneous Parts</c:v>
                </c:pt>
                <c:pt idx="1">
                  <c:v>212:Discoored</c:v>
                </c:pt>
                <c:pt idx="2">
                  <c:v>234:Detouched</c:v>
                </c:pt>
                <c:pt idx="3">
                  <c:v>249:Others</c:v>
                </c:pt>
              </c:strCache>
            </c:strRef>
          </c:cat>
          <c:val>
            <c:numRef>
              <c:f>図表バッグ!$I$100:$I$103</c:f>
              <c:numCache>
                <c:formatCode>General</c:formatCode>
                <c:ptCount val="4"/>
                <c:pt idx="0">
                  <c:v>7</c:v>
                </c:pt>
                <c:pt idx="1">
                  <c:v>2</c:v>
                </c:pt>
                <c:pt idx="2">
                  <c:v>2</c:v>
                </c:pt>
                <c:pt idx="3">
                  <c:v>1</c:v>
                </c:pt>
              </c:numCache>
            </c:numRef>
          </c:val>
          <c:extLst>
            <c:ext xmlns:c16="http://schemas.microsoft.com/office/drawing/2014/chart" uri="{C3380CC4-5D6E-409C-BE32-E72D297353CC}">
              <c16:uniqueId val="{0000000C-F963-4CF5-9F39-86F743EE9FD0}"/>
            </c:ext>
          </c:extLst>
        </c:ser>
        <c:dLbls>
          <c:showLegendKey val="0"/>
          <c:showVal val="0"/>
          <c:showCatName val="0"/>
          <c:showSerName val="0"/>
          <c:showPercent val="0"/>
          <c:showBubbleSize val="0"/>
          <c:showLeaderLines val="0"/>
        </c:dLbls>
        <c:firstSliceAng val="0"/>
        <c:holeSize val="50"/>
      </c:doughnutChart>
      <c:spPr>
        <a:noFill/>
        <a:ln>
          <a:noFill/>
        </a:ln>
        <a:effectLst/>
      </c:spPr>
    </c:plotArea>
    <c:legend>
      <c:legendPos val="r"/>
      <c:layout>
        <c:manualLayout>
          <c:xMode val="edge"/>
          <c:yMode val="edge"/>
          <c:x val="0.61256517935258092"/>
          <c:y val="0.18346188970428565"/>
          <c:w val="0.36799037620297465"/>
          <c:h val="0.79655411415091815"/>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extLst/>
  </c:chart>
  <c:spPr>
    <a:solidFill>
      <a:schemeClr val="bg1"/>
    </a:solidFill>
    <a:ln w="6350" cap="flat" cmpd="sng" algn="ctr">
      <a:noFill/>
      <a:prstDash val="solid"/>
      <a:round/>
    </a:ln>
    <a:effectLst/>
  </c:spPr>
  <c:txPr>
    <a:bodyPr/>
    <a:lstStyle/>
    <a:p>
      <a:pPr>
        <a:defRPr/>
      </a:pPr>
      <a:endParaRPr lang="ja-JP"/>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ja-JP"/>
              <a:t>Bags</a:t>
            </a:r>
            <a:r>
              <a:rPr lang="en-US" altLang="ja-JP" baseline="0"/>
              <a:t> where Ployurethane used</a:t>
            </a:r>
            <a:endParaRPr lang="ja-JP" altLang="en-US"/>
          </a:p>
        </c:rich>
      </c:tx>
      <c:overlay val="0"/>
      <c:spPr>
        <a:noFill/>
        <a:ln>
          <a:noFill/>
        </a:ln>
        <a:effectLst/>
      </c:spPr>
    </c:title>
    <c:autoTitleDeleted val="0"/>
    <c:plotArea>
      <c:layout/>
      <c:doughnutChart>
        <c:varyColors val="1"/>
        <c:ser>
          <c:idx val="0"/>
          <c:order val="0"/>
          <c:tx>
            <c:strRef>
              <c:f>図表バッグ!$K$110</c:f>
              <c:strCache>
                <c:ptCount val="1"/>
                <c:pt idx="0">
                  <c:v>総計</c:v>
                </c:pt>
              </c:strCache>
            </c:strRef>
          </c:tx>
          <c:spPr>
            <a:ln>
              <a:solidFill>
                <a:schemeClr val="tx1"/>
              </a:solidFill>
            </a:ln>
          </c:spPr>
          <c:dPt>
            <c:idx val="0"/>
            <c:bubble3D val="0"/>
            <c:spPr>
              <a:solidFill>
                <a:schemeClr val="dk1">
                  <a:tint val="88500"/>
                </a:schemeClr>
              </a:solidFill>
              <a:ln>
                <a:solidFill>
                  <a:schemeClr val="tx1"/>
                </a:solidFill>
              </a:ln>
              <a:effectLst/>
            </c:spPr>
            <c:extLst>
              <c:ext xmlns:c16="http://schemas.microsoft.com/office/drawing/2014/chart" uri="{C3380CC4-5D6E-409C-BE32-E72D297353CC}">
                <c16:uniqueId val="{00000001-8C7E-44BF-908A-EEF321D4FC56}"/>
              </c:ext>
            </c:extLst>
          </c:dPt>
          <c:dPt>
            <c:idx val="1"/>
            <c:bubble3D val="0"/>
            <c:spPr>
              <a:solidFill>
                <a:schemeClr val="dk1">
                  <a:tint val="55000"/>
                </a:schemeClr>
              </a:solidFill>
              <a:ln>
                <a:solidFill>
                  <a:schemeClr val="tx1"/>
                </a:solidFill>
              </a:ln>
              <a:effectLst/>
            </c:spPr>
            <c:extLst>
              <c:ext xmlns:c16="http://schemas.microsoft.com/office/drawing/2014/chart" uri="{C3380CC4-5D6E-409C-BE32-E72D297353CC}">
                <c16:uniqueId val="{00000003-8C7E-44BF-908A-EEF321D4FC56}"/>
              </c:ext>
            </c:extLst>
          </c:dPt>
          <c:dPt>
            <c:idx val="2"/>
            <c:bubble3D val="0"/>
            <c:spPr>
              <a:solidFill>
                <a:schemeClr val="dk1">
                  <a:tint val="75000"/>
                </a:schemeClr>
              </a:solidFill>
              <a:ln>
                <a:solidFill>
                  <a:schemeClr val="tx1"/>
                </a:solidFill>
              </a:ln>
              <a:effectLst/>
            </c:spPr>
            <c:extLst>
              <c:ext xmlns:c16="http://schemas.microsoft.com/office/drawing/2014/chart" uri="{C3380CC4-5D6E-409C-BE32-E72D297353CC}">
                <c16:uniqueId val="{00000005-8C7E-44BF-908A-EEF321D4FC56}"/>
              </c:ext>
            </c:extLst>
          </c:dPt>
          <c:dPt>
            <c:idx val="3"/>
            <c:bubble3D val="0"/>
            <c:spPr>
              <a:solidFill>
                <a:schemeClr val="dk1">
                  <a:tint val="98500"/>
                </a:schemeClr>
              </a:solidFill>
              <a:ln>
                <a:solidFill>
                  <a:schemeClr val="tx1"/>
                </a:solidFill>
              </a:ln>
              <a:effectLst/>
            </c:spPr>
            <c:extLst>
              <c:ext xmlns:c16="http://schemas.microsoft.com/office/drawing/2014/chart" uri="{C3380CC4-5D6E-409C-BE32-E72D297353CC}">
                <c16:uniqueId val="{00000007-8C7E-44BF-908A-EEF321D4FC56}"/>
              </c:ext>
            </c:extLst>
          </c:dPt>
          <c:dPt>
            <c:idx val="4"/>
            <c:bubble3D val="0"/>
            <c:spPr>
              <a:solidFill>
                <a:schemeClr val="dk1">
                  <a:tint val="30000"/>
                </a:schemeClr>
              </a:solidFill>
              <a:ln>
                <a:solidFill>
                  <a:schemeClr val="tx1"/>
                </a:solidFill>
              </a:ln>
              <a:effectLst/>
            </c:spPr>
            <c:extLst>
              <c:ext xmlns:c16="http://schemas.microsoft.com/office/drawing/2014/chart" uri="{C3380CC4-5D6E-409C-BE32-E72D297353CC}">
                <c16:uniqueId val="{00000009-8C7E-44BF-908A-EEF321D4FC56}"/>
              </c:ext>
            </c:extLst>
          </c:dPt>
          <c:dPt>
            <c:idx val="5"/>
            <c:bubble3D val="0"/>
            <c:spPr>
              <a:solidFill>
                <a:schemeClr val="dk1">
                  <a:tint val="60000"/>
                </a:schemeClr>
              </a:solidFill>
              <a:ln>
                <a:solidFill>
                  <a:schemeClr val="tx1"/>
                </a:solidFill>
              </a:ln>
              <a:effectLst/>
            </c:spPr>
            <c:extLst>
              <c:ext xmlns:c16="http://schemas.microsoft.com/office/drawing/2014/chart" uri="{C3380CC4-5D6E-409C-BE32-E72D297353CC}">
                <c16:uniqueId val="{0000000B-8C7E-44BF-908A-EEF321D4FC56}"/>
              </c:ext>
            </c:extLst>
          </c:dPt>
          <c:cat>
            <c:strRef>
              <c:f>図表バッグ!$J$111:$J$114</c:f>
              <c:strCache>
                <c:ptCount val="4"/>
                <c:pt idx="0">
                  <c:v>231:Surface - Cracked</c:v>
                </c:pt>
                <c:pt idx="1">
                  <c:v>213:Softened</c:v>
                </c:pt>
                <c:pt idx="2">
                  <c:v>233:Linings - Broken</c:v>
                </c:pt>
                <c:pt idx="3">
                  <c:v>999:Others</c:v>
                </c:pt>
              </c:strCache>
            </c:strRef>
          </c:cat>
          <c:val>
            <c:numRef>
              <c:f>図表バッグ!$K$111:$K$114</c:f>
              <c:numCache>
                <c:formatCode>General</c:formatCode>
                <c:ptCount val="4"/>
                <c:pt idx="0">
                  <c:v>19</c:v>
                </c:pt>
                <c:pt idx="1">
                  <c:v>10</c:v>
                </c:pt>
                <c:pt idx="2">
                  <c:v>5</c:v>
                </c:pt>
                <c:pt idx="3">
                  <c:v>4</c:v>
                </c:pt>
              </c:numCache>
            </c:numRef>
          </c:val>
          <c:extLst>
            <c:ext xmlns:c16="http://schemas.microsoft.com/office/drawing/2014/chart" uri="{C3380CC4-5D6E-409C-BE32-E72D297353CC}">
              <c16:uniqueId val="{0000000C-8C7E-44BF-908A-EEF321D4FC56}"/>
            </c:ext>
          </c:extLst>
        </c:ser>
        <c:dLbls>
          <c:showLegendKey val="0"/>
          <c:showVal val="0"/>
          <c:showCatName val="0"/>
          <c:showSerName val="0"/>
          <c:showPercent val="0"/>
          <c:showBubbleSize val="0"/>
          <c:showLeaderLines val="0"/>
        </c:dLbls>
        <c:firstSliceAng val="0"/>
        <c:holeSize val="50"/>
      </c:doughnutChart>
      <c:spPr>
        <a:noFill/>
        <a:ln>
          <a:noFill/>
        </a:ln>
        <a:effectLst/>
      </c:spPr>
    </c:plotArea>
    <c:legend>
      <c:legendPos val="r"/>
      <c:layout>
        <c:manualLayout>
          <c:xMode val="edge"/>
          <c:yMode val="edge"/>
          <c:x val="0.61256517935258092"/>
          <c:y val="0.17375551460322775"/>
          <c:w val="0.36799037620297465"/>
          <c:h val="0.80836935276707433"/>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extLst/>
  </c:chart>
  <c:spPr>
    <a:solidFill>
      <a:schemeClr val="bg1"/>
    </a:solidFill>
    <a:ln w="6350" cap="flat" cmpd="sng" algn="ctr">
      <a:noFill/>
      <a:prstDash val="solid"/>
      <a:round/>
    </a:ln>
    <a:effectLst/>
  </c:spPr>
  <c:txPr>
    <a:bodyPr/>
    <a:lstStyle/>
    <a:p>
      <a:pPr>
        <a:defRPr/>
      </a:pPr>
      <a:endParaRPr lang="ja-JP"/>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S Gothic" panose="020B0609070205080204" pitchFamily="49" charset="-128"/>
                <a:ea typeface="MS Gothic" panose="020B0609070205080204" pitchFamily="49" charset="-128"/>
                <a:cs typeface="+mn-cs"/>
              </a:defRPr>
            </a:pPr>
            <a:r>
              <a:rPr lang="en-US" altLang="ja-JP" sz="1000">
                <a:latin typeface="MS Gothic" panose="020B0609070205080204" pitchFamily="49" charset="-128"/>
                <a:ea typeface="MS Gothic" panose="020B0609070205080204" pitchFamily="49" charset="-128"/>
              </a:rPr>
              <a:t>All</a:t>
            </a:r>
            <a:r>
              <a:rPr lang="en-US" altLang="ja-JP" sz="1000" baseline="0">
                <a:latin typeface="MS Gothic" panose="020B0609070205080204" pitchFamily="49" charset="-128"/>
                <a:ea typeface="MS Gothic" panose="020B0609070205080204" pitchFamily="49" charset="-128"/>
              </a:rPr>
              <a:t> Items</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S Gothic" panose="020B0609070205080204" pitchFamily="49" charset="-128"/>
              <a:ea typeface="MS Gothic" panose="020B0609070205080204" pitchFamily="49" charset="-128"/>
              <a:cs typeface="+mn-cs"/>
            </a:defRPr>
          </a:pPr>
          <a:endParaRPr lang="ja-JP"/>
        </a:p>
      </c:txPr>
    </c:title>
    <c:autoTitleDeleted val="0"/>
    <c:plotArea>
      <c:layout/>
      <c:barChart>
        <c:barDir val="col"/>
        <c:grouping val="percentStacked"/>
        <c:varyColors val="0"/>
        <c:ser>
          <c:idx val="0"/>
          <c:order val="0"/>
          <c:tx>
            <c:strRef>
              <c:f>総合評価!$A$39</c:f>
              <c:strCache>
                <c:ptCount val="1"/>
                <c:pt idx="0">
                  <c:v>41:Leather</c:v>
                </c:pt>
              </c:strCache>
            </c:strRef>
          </c:tx>
          <c:spPr>
            <a:solidFill>
              <a:schemeClr val="dk1">
                <a:tint val="88500"/>
              </a:schemeClr>
            </a:solidFill>
            <a:ln>
              <a:noFill/>
            </a:ln>
            <a:effectLst/>
          </c:spPr>
          <c:invertIfNegative val="0"/>
          <c:cat>
            <c:strRef>
              <c:f>総合評価!$B$38:$I$38</c:f>
              <c:strCache>
                <c:ptCount val="8"/>
                <c:pt idx="0">
                  <c:v>0: Within 1 yr</c:v>
                </c:pt>
                <c:pt idx="1">
                  <c:v>1:1 yr</c:v>
                </c:pt>
                <c:pt idx="2">
                  <c:v>2:2 yrs</c:v>
                </c:pt>
                <c:pt idx="3">
                  <c:v>3:3 yrs</c:v>
                </c:pt>
                <c:pt idx="4">
                  <c:v>4:4 yrs.</c:v>
                </c:pt>
                <c:pt idx="5">
                  <c:v>5:5 yrs.</c:v>
                </c:pt>
                <c:pt idx="6">
                  <c:v>6:Over 6 yrs.</c:v>
                </c:pt>
                <c:pt idx="7">
                  <c:v>8:Over 10 yrs.</c:v>
                </c:pt>
              </c:strCache>
            </c:strRef>
          </c:cat>
          <c:val>
            <c:numRef>
              <c:f>総合評価!$B$39:$I$39</c:f>
              <c:numCache>
                <c:formatCode>General</c:formatCode>
                <c:ptCount val="8"/>
                <c:pt idx="0">
                  <c:v>1372</c:v>
                </c:pt>
                <c:pt idx="1">
                  <c:v>246</c:v>
                </c:pt>
                <c:pt idx="2">
                  <c:v>124</c:v>
                </c:pt>
                <c:pt idx="3">
                  <c:v>84</c:v>
                </c:pt>
                <c:pt idx="4">
                  <c:v>30</c:v>
                </c:pt>
                <c:pt idx="5">
                  <c:v>49</c:v>
                </c:pt>
                <c:pt idx="6">
                  <c:v>38</c:v>
                </c:pt>
                <c:pt idx="7">
                  <c:v>39</c:v>
                </c:pt>
              </c:numCache>
            </c:numRef>
          </c:val>
          <c:extLst>
            <c:ext xmlns:c16="http://schemas.microsoft.com/office/drawing/2014/chart" uri="{C3380CC4-5D6E-409C-BE32-E72D297353CC}">
              <c16:uniqueId val="{00000000-1191-462A-BAE1-684B581D0236}"/>
            </c:ext>
          </c:extLst>
        </c:ser>
        <c:ser>
          <c:idx val="1"/>
          <c:order val="1"/>
          <c:tx>
            <c:strRef>
              <c:f>総合評価!$A$40</c:f>
              <c:strCache>
                <c:ptCount val="1"/>
                <c:pt idx="0">
                  <c:v>42:Systhetics</c:v>
                </c:pt>
              </c:strCache>
            </c:strRef>
          </c:tx>
          <c:spPr>
            <a:solidFill>
              <a:schemeClr val="dk1">
                <a:tint val="55000"/>
              </a:schemeClr>
            </a:solidFill>
            <a:ln>
              <a:noFill/>
            </a:ln>
            <a:effectLst/>
          </c:spPr>
          <c:invertIfNegative val="0"/>
          <c:cat>
            <c:strRef>
              <c:f>総合評価!$B$38:$I$38</c:f>
              <c:strCache>
                <c:ptCount val="8"/>
                <c:pt idx="0">
                  <c:v>0: Within 1 yr</c:v>
                </c:pt>
                <c:pt idx="1">
                  <c:v>1:1 yr</c:v>
                </c:pt>
                <c:pt idx="2">
                  <c:v>2:2 yrs</c:v>
                </c:pt>
                <c:pt idx="3">
                  <c:v>3:3 yrs</c:v>
                </c:pt>
                <c:pt idx="4">
                  <c:v>4:4 yrs.</c:v>
                </c:pt>
                <c:pt idx="5">
                  <c:v>5:5 yrs.</c:v>
                </c:pt>
                <c:pt idx="6">
                  <c:v>6:Over 6 yrs.</c:v>
                </c:pt>
                <c:pt idx="7">
                  <c:v>8:Over 10 yrs.</c:v>
                </c:pt>
              </c:strCache>
            </c:strRef>
          </c:cat>
          <c:val>
            <c:numRef>
              <c:f>総合評価!$B$40:$I$40</c:f>
              <c:numCache>
                <c:formatCode>General</c:formatCode>
                <c:ptCount val="8"/>
                <c:pt idx="0">
                  <c:v>405</c:v>
                </c:pt>
                <c:pt idx="1">
                  <c:v>83</c:v>
                </c:pt>
                <c:pt idx="2">
                  <c:v>53</c:v>
                </c:pt>
                <c:pt idx="3">
                  <c:v>44</c:v>
                </c:pt>
                <c:pt idx="4">
                  <c:v>15</c:v>
                </c:pt>
                <c:pt idx="5">
                  <c:v>35</c:v>
                </c:pt>
                <c:pt idx="6">
                  <c:v>24</c:v>
                </c:pt>
                <c:pt idx="7">
                  <c:v>14</c:v>
                </c:pt>
              </c:numCache>
            </c:numRef>
          </c:val>
          <c:extLst>
            <c:ext xmlns:c16="http://schemas.microsoft.com/office/drawing/2014/chart" uri="{C3380CC4-5D6E-409C-BE32-E72D297353CC}">
              <c16:uniqueId val="{00000001-1191-462A-BAE1-684B581D0236}"/>
            </c:ext>
          </c:extLst>
        </c:ser>
        <c:ser>
          <c:idx val="2"/>
          <c:order val="2"/>
          <c:tx>
            <c:strRef>
              <c:f>総合評価!$A$41</c:f>
              <c:strCache>
                <c:ptCount val="1"/>
                <c:pt idx="0">
                  <c:v>44:Textiles</c:v>
                </c:pt>
              </c:strCache>
            </c:strRef>
          </c:tx>
          <c:spPr>
            <a:solidFill>
              <a:schemeClr val="dk1">
                <a:tint val="75000"/>
              </a:schemeClr>
            </a:solidFill>
            <a:ln>
              <a:noFill/>
            </a:ln>
            <a:effectLst/>
          </c:spPr>
          <c:invertIfNegative val="0"/>
          <c:cat>
            <c:strRef>
              <c:f>総合評価!$B$38:$I$38</c:f>
              <c:strCache>
                <c:ptCount val="8"/>
                <c:pt idx="0">
                  <c:v>0: Within 1 yr</c:v>
                </c:pt>
                <c:pt idx="1">
                  <c:v>1:1 yr</c:v>
                </c:pt>
                <c:pt idx="2">
                  <c:v>2:2 yrs</c:v>
                </c:pt>
                <c:pt idx="3">
                  <c:v>3:3 yrs</c:v>
                </c:pt>
                <c:pt idx="4">
                  <c:v>4:4 yrs.</c:v>
                </c:pt>
                <c:pt idx="5">
                  <c:v>5:5 yrs.</c:v>
                </c:pt>
                <c:pt idx="6">
                  <c:v>6:Over 6 yrs.</c:v>
                </c:pt>
                <c:pt idx="7">
                  <c:v>8:Over 10 yrs.</c:v>
                </c:pt>
              </c:strCache>
            </c:strRef>
          </c:cat>
          <c:val>
            <c:numRef>
              <c:f>総合評価!$B$41:$I$41</c:f>
              <c:numCache>
                <c:formatCode>General</c:formatCode>
                <c:ptCount val="8"/>
                <c:pt idx="0">
                  <c:v>328</c:v>
                </c:pt>
                <c:pt idx="1">
                  <c:v>47</c:v>
                </c:pt>
                <c:pt idx="2">
                  <c:v>28</c:v>
                </c:pt>
                <c:pt idx="3">
                  <c:v>24</c:v>
                </c:pt>
                <c:pt idx="4">
                  <c:v>5</c:v>
                </c:pt>
                <c:pt idx="5">
                  <c:v>16</c:v>
                </c:pt>
                <c:pt idx="6">
                  <c:v>7</c:v>
                </c:pt>
                <c:pt idx="7">
                  <c:v>10</c:v>
                </c:pt>
              </c:numCache>
            </c:numRef>
          </c:val>
          <c:extLst>
            <c:ext xmlns:c16="http://schemas.microsoft.com/office/drawing/2014/chart" uri="{C3380CC4-5D6E-409C-BE32-E72D297353CC}">
              <c16:uniqueId val="{00000002-1191-462A-BAE1-684B581D0236}"/>
            </c:ext>
          </c:extLst>
        </c:ser>
        <c:ser>
          <c:idx val="3"/>
          <c:order val="3"/>
          <c:tx>
            <c:strRef>
              <c:f>総合評価!$A$42</c:f>
              <c:strCache>
                <c:ptCount val="1"/>
                <c:pt idx="0">
                  <c:v>83:Polyurethanes</c:v>
                </c:pt>
              </c:strCache>
            </c:strRef>
          </c:tx>
          <c:spPr>
            <a:solidFill>
              <a:schemeClr val="dk1">
                <a:tint val="98500"/>
              </a:schemeClr>
            </a:solidFill>
            <a:ln>
              <a:noFill/>
            </a:ln>
            <a:effectLst/>
          </c:spPr>
          <c:invertIfNegative val="0"/>
          <c:cat>
            <c:strRef>
              <c:f>総合評価!$B$38:$I$38</c:f>
              <c:strCache>
                <c:ptCount val="8"/>
                <c:pt idx="0">
                  <c:v>0: Within 1 yr</c:v>
                </c:pt>
                <c:pt idx="1">
                  <c:v>1:1 yr</c:v>
                </c:pt>
                <c:pt idx="2">
                  <c:v>2:2 yrs</c:v>
                </c:pt>
                <c:pt idx="3">
                  <c:v>3:3 yrs</c:v>
                </c:pt>
                <c:pt idx="4">
                  <c:v>4:4 yrs.</c:v>
                </c:pt>
                <c:pt idx="5">
                  <c:v>5:5 yrs.</c:v>
                </c:pt>
                <c:pt idx="6">
                  <c:v>6:Over 6 yrs.</c:v>
                </c:pt>
                <c:pt idx="7">
                  <c:v>8:Over 10 yrs.</c:v>
                </c:pt>
              </c:strCache>
            </c:strRef>
          </c:cat>
          <c:val>
            <c:numRef>
              <c:f>総合評価!$B$42:$I$42</c:f>
              <c:numCache>
                <c:formatCode>General</c:formatCode>
                <c:ptCount val="8"/>
                <c:pt idx="0">
                  <c:v>30</c:v>
                </c:pt>
                <c:pt idx="1">
                  <c:v>17</c:v>
                </c:pt>
                <c:pt idx="2">
                  <c:v>19</c:v>
                </c:pt>
                <c:pt idx="3">
                  <c:v>40</c:v>
                </c:pt>
                <c:pt idx="4">
                  <c:v>18</c:v>
                </c:pt>
                <c:pt idx="5">
                  <c:v>51</c:v>
                </c:pt>
                <c:pt idx="6">
                  <c:v>46</c:v>
                </c:pt>
                <c:pt idx="7">
                  <c:v>32</c:v>
                </c:pt>
              </c:numCache>
            </c:numRef>
          </c:val>
          <c:extLst>
            <c:ext xmlns:c16="http://schemas.microsoft.com/office/drawing/2014/chart" uri="{C3380CC4-5D6E-409C-BE32-E72D297353CC}">
              <c16:uniqueId val="{00000003-1191-462A-BAE1-684B581D0236}"/>
            </c:ext>
          </c:extLst>
        </c:ser>
        <c:ser>
          <c:idx val="4"/>
          <c:order val="4"/>
          <c:tx>
            <c:strRef>
              <c:f>総合評価!$A$43</c:f>
              <c:strCache>
                <c:ptCount val="1"/>
                <c:pt idx="0">
                  <c:v>48:Rubbers</c:v>
                </c:pt>
              </c:strCache>
            </c:strRef>
          </c:tx>
          <c:spPr>
            <a:solidFill>
              <a:schemeClr val="dk1">
                <a:tint val="30000"/>
              </a:schemeClr>
            </a:solidFill>
            <a:ln>
              <a:noFill/>
            </a:ln>
            <a:effectLst/>
          </c:spPr>
          <c:invertIfNegative val="0"/>
          <c:cat>
            <c:strRef>
              <c:f>総合評価!$B$38:$I$38</c:f>
              <c:strCache>
                <c:ptCount val="8"/>
                <c:pt idx="0">
                  <c:v>0: Within 1 yr</c:v>
                </c:pt>
                <c:pt idx="1">
                  <c:v>1:1 yr</c:v>
                </c:pt>
                <c:pt idx="2">
                  <c:v>2:2 yrs</c:v>
                </c:pt>
                <c:pt idx="3">
                  <c:v>3:3 yrs</c:v>
                </c:pt>
                <c:pt idx="4">
                  <c:v>4:4 yrs.</c:v>
                </c:pt>
                <c:pt idx="5">
                  <c:v>5:5 yrs.</c:v>
                </c:pt>
                <c:pt idx="6">
                  <c:v>6:Over 6 yrs.</c:v>
                </c:pt>
                <c:pt idx="7">
                  <c:v>8:Over 10 yrs.</c:v>
                </c:pt>
              </c:strCache>
            </c:strRef>
          </c:cat>
          <c:val>
            <c:numRef>
              <c:f>総合評価!$B$43:$I$43</c:f>
              <c:numCache>
                <c:formatCode>General</c:formatCode>
                <c:ptCount val="8"/>
                <c:pt idx="0">
                  <c:v>148</c:v>
                </c:pt>
                <c:pt idx="1">
                  <c:v>24</c:v>
                </c:pt>
                <c:pt idx="2">
                  <c:v>9</c:v>
                </c:pt>
                <c:pt idx="3">
                  <c:v>5</c:v>
                </c:pt>
                <c:pt idx="4">
                  <c:v>2</c:v>
                </c:pt>
                <c:pt idx="5">
                  <c:v>3</c:v>
                </c:pt>
                <c:pt idx="6">
                  <c:v>1</c:v>
                </c:pt>
                <c:pt idx="7">
                  <c:v>1</c:v>
                </c:pt>
              </c:numCache>
            </c:numRef>
          </c:val>
          <c:extLst>
            <c:ext xmlns:c16="http://schemas.microsoft.com/office/drawing/2014/chart" uri="{C3380CC4-5D6E-409C-BE32-E72D297353CC}">
              <c16:uniqueId val="{00000004-1191-462A-BAE1-684B581D0236}"/>
            </c:ext>
          </c:extLst>
        </c:ser>
        <c:ser>
          <c:idx val="5"/>
          <c:order val="5"/>
          <c:tx>
            <c:strRef>
              <c:f>総合評価!$A$44</c:f>
              <c:strCache>
                <c:ptCount val="1"/>
                <c:pt idx="0">
                  <c:v>70:Resins</c:v>
                </c:pt>
              </c:strCache>
            </c:strRef>
          </c:tx>
          <c:spPr>
            <a:solidFill>
              <a:schemeClr val="dk1">
                <a:tint val="60000"/>
              </a:schemeClr>
            </a:solidFill>
            <a:ln>
              <a:noFill/>
            </a:ln>
            <a:effectLst/>
          </c:spPr>
          <c:invertIfNegative val="0"/>
          <c:cat>
            <c:strRef>
              <c:f>総合評価!$B$38:$I$38</c:f>
              <c:strCache>
                <c:ptCount val="8"/>
                <c:pt idx="0">
                  <c:v>0: Within 1 yr</c:v>
                </c:pt>
                <c:pt idx="1">
                  <c:v>1:1 yr</c:v>
                </c:pt>
                <c:pt idx="2">
                  <c:v>2:2 yrs</c:v>
                </c:pt>
                <c:pt idx="3">
                  <c:v>3:3 yrs</c:v>
                </c:pt>
                <c:pt idx="4">
                  <c:v>4:4 yrs.</c:v>
                </c:pt>
                <c:pt idx="5">
                  <c:v>5:5 yrs.</c:v>
                </c:pt>
                <c:pt idx="6">
                  <c:v>6:Over 6 yrs.</c:v>
                </c:pt>
                <c:pt idx="7">
                  <c:v>8:Over 10 yrs.</c:v>
                </c:pt>
              </c:strCache>
            </c:strRef>
          </c:cat>
          <c:val>
            <c:numRef>
              <c:f>総合評価!$B$44:$I$44</c:f>
              <c:numCache>
                <c:formatCode>General</c:formatCode>
                <c:ptCount val="8"/>
                <c:pt idx="0">
                  <c:v>98</c:v>
                </c:pt>
                <c:pt idx="1">
                  <c:v>19</c:v>
                </c:pt>
                <c:pt idx="2">
                  <c:v>15</c:v>
                </c:pt>
                <c:pt idx="3">
                  <c:v>3</c:v>
                </c:pt>
                <c:pt idx="5">
                  <c:v>7</c:v>
                </c:pt>
                <c:pt idx="6">
                  <c:v>5</c:v>
                </c:pt>
                <c:pt idx="7">
                  <c:v>8</c:v>
                </c:pt>
              </c:numCache>
            </c:numRef>
          </c:val>
          <c:extLst>
            <c:ext xmlns:c16="http://schemas.microsoft.com/office/drawing/2014/chart" uri="{C3380CC4-5D6E-409C-BE32-E72D297353CC}">
              <c16:uniqueId val="{00000005-1191-462A-BAE1-684B581D0236}"/>
            </c:ext>
          </c:extLst>
        </c:ser>
        <c:ser>
          <c:idx val="6"/>
          <c:order val="6"/>
          <c:tx>
            <c:strRef>
              <c:f>総合評価!$A$45</c:f>
              <c:strCache>
                <c:ptCount val="1"/>
                <c:pt idx="0">
                  <c:v>51:Metals</c:v>
                </c:pt>
              </c:strCache>
            </c:strRef>
          </c:tx>
          <c:spPr>
            <a:solidFill>
              <a:schemeClr val="dk1">
                <a:tint val="80000"/>
              </a:schemeClr>
            </a:solidFill>
            <a:ln>
              <a:noFill/>
            </a:ln>
            <a:effectLst/>
          </c:spPr>
          <c:invertIfNegative val="0"/>
          <c:cat>
            <c:strRef>
              <c:f>総合評価!$B$38:$I$38</c:f>
              <c:strCache>
                <c:ptCount val="8"/>
                <c:pt idx="0">
                  <c:v>0: Within 1 yr</c:v>
                </c:pt>
                <c:pt idx="1">
                  <c:v>1:1 yr</c:v>
                </c:pt>
                <c:pt idx="2">
                  <c:v>2:2 yrs</c:v>
                </c:pt>
                <c:pt idx="3">
                  <c:v>3:3 yrs</c:v>
                </c:pt>
                <c:pt idx="4">
                  <c:v>4:4 yrs.</c:v>
                </c:pt>
                <c:pt idx="5">
                  <c:v>5:5 yrs.</c:v>
                </c:pt>
                <c:pt idx="6">
                  <c:v>6:Over 6 yrs.</c:v>
                </c:pt>
                <c:pt idx="7">
                  <c:v>8:Over 10 yrs.</c:v>
                </c:pt>
              </c:strCache>
            </c:strRef>
          </c:cat>
          <c:val>
            <c:numRef>
              <c:f>総合評価!$B$45:$I$45</c:f>
              <c:numCache>
                <c:formatCode>General</c:formatCode>
                <c:ptCount val="8"/>
                <c:pt idx="0">
                  <c:v>83</c:v>
                </c:pt>
                <c:pt idx="1">
                  <c:v>22</c:v>
                </c:pt>
                <c:pt idx="2">
                  <c:v>9</c:v>
                </c:pt>
                <c:pt idx="3">
                  <c:v>3</c:v>
                </c:pt>
                <c:pt idx="5">
                  <c:v>8</c:v>
                </c:pt>
                <c:pt idx="6">
                  <c:v>3</c:v>
                </c:pt>
                <c:pt idx="7">
                  <c:v>1</c:v>
                </c:pt>
              </c:numCache>
            </c:numRef>
          </c:val>
          <c:extLst>
            <c:ext xmlns:c16="http://schemas.microsoft.com/office/drawing/2014/chart" uri="{C3380CC4-5D6E-409C-BE32-E72D297353CC}">
              <c16:uniqueId val="{00000006-1191-462A-BAE1-684B581D0236}"/>
            </c:ext>
          </c:extLst>
        </c:ser>
        <c:ser>
          <c:idx val="7"/>
          <c:order val="7"/>
          <c:tx>
            <c:strRef>
              <c:f>総合評価!$A$46</c:f>
              <c:strCache>
                <c:ptCount val="1"/>
                <c:pt idx="0">
                  <c:v>99:Others</c:v>
                </c:pt>
              </c:strCache>
            </c:strRef>
          </c:tx>
          <c:spPr>
            <a:solidFill>
              <a:schemeClr val="dk1">
                <a:tint val="88500"/>
              </a:schemeClr>
            </a:solidFill>
            <a:ln>
              <a:noFill/>
            </a:ln>
            <a:effectLst/>
          </c:spPr>
          <c:invertIfNegative val="0"/>
          <c:cat>
            <c:strRef>
              <c:f>総合評価!$B$38:$I$38</c:f>
              <c:strCache>
                <c:ptCount val="8"/>
                <c:pt idx="0">
                  <c:v>0: Within 1 yr</c:v>
                </c:pt>
                <c:pt idx="1">
                  <c:v>1:1 yr</c:v>
                </c:pt>
                <c:pt idx="2">
                  <c:v>2:2 yrs</c:v>
                </c:pt>
                <c:pt idx="3">
                  <c:v>3:3 yrs</c:v>
                </c:pt>
                <c:pt idx="4">
                  <c:v>4:4 yrs.</c:v>
                </c:pt>
                <c:pt idx="5">
                  <c:v>5:5 yrs.</c:v>
                </c:pt>
                <c:pt idx="6">
                  <c:v>6:Over 6 yrs.</c:v>
                </c:pt>
                <c:pt idx="7">
                  <c:v>8:Over 10 yrs.</c:v>
                </c:pt>
              </c:strCache>
            </c:strRef>
          </c:cat>
          <c:val>
            <c:numRef>
              <c:f>総合評価!$B$46:$I$46</c:f>
              <c:numCache>
                <c:formatCode>General</c:formatCode>
                <c:ptCount val="8"/>
                <c:pt idx="0">
                  <c:v>533</c:v>
                </c:pt>
                <c:pt idx="1">
                  <c:v>114</c:v>
                </c:pt>
                <c:pt idx="2">
                  <c:v>58</c:v>
                </c:pt>
                <c:pt idx="3">
                  <c:v>28</c:v>
                </c:pt>
                <c:pt idx="4">
                  <c:v>24</c:v>
                </c:pt>
                <c:pt idx="5">
                  <c:v>35</c:v>
                </c:pt>
                <c:pt idx="6">
                  <c:v>25</c:v>
                </c:pt>
                <c:pt idx="7">
                  <c:v>11</c:v>
                </c:pt>
              </c:numCache>
            </c:numRef>
          </c:val>
          <c:extLst>
            <c:ext xmlns:c16="http://schemas.microsoft.com/office/drawing/2014/chart" uri="{C3380CC4-5D6E-409C-BE32-E72D297353CC}">
              <c16:uniqueId val="{00000007-1191-462A-BAE1-684B581D0236}"/>
            </c:ext>
          </c:extLst>
        </c:ser>
        <c:dLbls>
          <c:showLegendKey val="0"/>
          <c:showVal val="0"/>
          <c:showCatName val="0"/>
          <c:showSerName val="0"/>
          <c:showPercent val="0"/>
          <c:showBubbleSize val="0"/>
        </c:dLbls>
        <c:gapWidth val="300"/>
        <c:overlap val="100"/>
        <c:serLines>
          <c:spPr>
            <a:ln w="9525" cap="flat" cmpd="sng" algn="ctr">
              <a:solidFill>
                <a:schemeClr val="tx1">
                  <a:lumMod val="35000"/>
                  <a:lumOff val="65000"/>
                </a:schemeClr>
              </a:solidFill>
              <a:round/>
            </a:ln>
            <a:effectLst/>
          </c:spPr>
        </c:serLines>
        <c:axId val="373949872"/>
        <c:axId val="373951552"/>
      </c:barChart>
      <c:catAx>
        <c:axId val="373949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S Gothic" panose="020B0609070205080204" pitchFamily="49" charset="-128"/>
                <a:ea typeface="MS Gothic" panose="020B0609070205080204" pitchFamily="49" charset="-128"/>
                <a:cs typeface="+mn-cs"/>
              </a:defRPr>
            </a:pPr>
            <a:endParaRPr lang="ja-JP"/>
          </a:p>
        </c:txPr>
        <c:crossAx val="373951552"/>
        <c:crosses val="autoZero"/>
        <c:auto val="1"/>
        <c:lblAlgn val="ctr"/>
        <c:lblOffset val="100"/>
        <c:noMultiLvlLbl val="0"/>
      </c:catAx>
      <c:valAx>
        <c:axId val="37395155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S Gothic" panose="020B0609070205080204" pitchFamily="49" charset="-128"/>
                <a:ea typeface="MS Gothic" panose="020B0609070205080204" pitchFamily="49" charset="-128"/>
                <a:cs typeface="+mn-cs"/>
              </a:defRPr>
            </a:pPr>
            <a:endParaRPr lang="ja-JP"/>
          </a:p>
        </c:txPr>
        <c:crossAx val="37394987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S Gothic" panose="020B0609070205080204" pitchFamily="49" charset="-128"/>
              <a:ea typeface="MS Gothic" panose="020B0609070205080204" pitchFamily="49" charset="-128"/>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ja-JP"/>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ja-JP"/>
        </a:p>
      </c:txPr>
    </c:title>
    <c:autoTitleDeleted val="0"/>
    <c:plotArea>
      <c:layout/>
      <c:doughnutChart>
        <c:varyColors val="1"/>
        <c:ser>
          <c:idx val="0"/>
          <c:order val="0"/>
          <c:tx>
            <c:strRef>
              <c:f>図表使用期間!$A$6</c:f>
              <c:strCache>
                <c:ptCount val="1"/>
                <c:pt idx="0">
                  <c:v>Women's Shoes</c:v>
                </c:pt>
              </c:strCache>
            </c:strRef>
          </c:tx>
          <c:spPr>
            <a:ln w="9525">
              <a:solidFill>
                <a:schemeClr val="tx1"/>
              </a:solidFill>
            </a:ln>
          </c:spPr>
          <c:dPt>
            <c:idx val="0"/>
            <c:bubble3D val="0"/>
            <c:spPr>
              <a:solidFill>
                <a:schemeClr val="bg1"/>
              </a:solidFill>
              <a:ln w="9525">
                <a:solidFill>
                  <a:schemeClr val="tx1"/>
                </a:solidFill>
              </a:ln>
              <a:effectLst/>
            </c:spPr>
            <c:extLst>
              <c:ext xmlns:c16="http://schemas.microsoft.com/office/drawing/2014/chart" uri="{C3380CC4-5D6E-409C-BE32-E72D297353CC}">
                <c16:uniqueId val="{00000001-1E9B-4488-B181-A42C72390638}"/>
              </c:ext>
            </c:extLst>
          </c:dPt>
          <c:dPt>
            <c:idx val="1"/>
            <c:bubble3D val="0"/>
            <c:spPr>
              <a:solidFill>
                <a:schemeClr val="bg1">
                  <a:lumMod val="95000"/>
                </a:schemeClr>
              </a:solidFill>
              <a:ln w="9525">
                <a:solidFill>
                  <a:schemeClr val="tx1"/>
                </a:solidFill>
              </a:ln>
              <a:effectLst/>
            </c:spPr>
            <c:extLst>
              <c:ext xmlns:c16="http://schemas.microsoft.com/office/drawing/2014/chart" uri="{C3380CC4-5D6E-409C-BE32-E72D297353CC}">
                <c16:uniqueId val="{00000003-1E9B-4488-B181-A42C72390638}"/>
              </c:ext>
            </c:extLst>
          </c:dPt>
          <c:dPt>
            <c:idx val="2"/>
            <c:bubble3D val="0"/>
            <c:spPr>
              <a:solidFill>
                <a:schemeClr val="bg1">
                  <a:lumMod val="85000"/>
                </a:schemeClr>
              </a:solidFill>
              <a:ln w="9525">
                <a:solidFill>
                  <a:schemeClr val="tx1"/>
                </a:solidFill>
              </a:ln>
              <a:effectLst/>
            </c:spPr>
            <c:extLst>
              <c:ext xmlns:c16="http://schemas.microsoft.com/office/drawing/2014/chart" uri="{C3380CC4-5D6E-409C-BE32-E72D297353CC}">
                <c16:uniqueId val="{00000005-1E9B-4488-B181-A42C72390638}"/>
              </c:ext>
            </c:extLst>
          </c:dPt>
          <c:dPt>
            <c:idx val="3"/>
            <c:bubble3D val="0"/>
            <c:spPr>
              <a:solidFill>
                <a:schemeClr val="tx1"/>
              </a:solidFill>
              <a:ln w="9525">
                <a:solidFill>
                  <a:schemeClr val="tx1"/>
                </a:solidFill>
              </a:ln>
              <a:effectLst/>
            </c:spPr>
            <c:extLst>
              <c:ext xmlns:c16="http://schemas.microsoft.com/office/drawing/2014/chart" uri="{C3380CC4-5D6E-409C-BE32-E72D297353CC}">
                <c16:uniqueId val="{00000007-1E9B-4488-B181-A42C72390638}"/>
              </c:ext>
            </c:extLst>
          </c:dPt>
          <c:dPt>
            <c:idx val="4"/>
            <c:bubble3D val="0"/>
            <c:spPr>
              <a:solidFill>
                <a:schemeClr val="tx1">
                  <a:lumMod val="75000"/>
                  <a:lumOff val="25000"/>
                </a:schemeClr>
              </a:solidFill>
              <a:ln w="9525">
                <a:solidFill>
                  <a:schemeClr val="tx1"/>
                </a:solidFill>
              </a:ln>
              <a:effectLst/>
            </c:spPr>
            <c:extLst>
              <c:ext xmlns:c16="http://schemas.microsoft.com/office/drawing/2014/chart" uri="{C3380CC4-5D6E-409C-BE32-E72D297353CC}">
                <c16:uniqueId val="{00000009-1E9B-4488-B181-A42C72390638}"/>
              </c:ext>
            </c:extLst>
          </c:dPt>
          <c:dPt>
            <c:idx val="5"/>
            <c:bubble3D val="0"/>
            <c:spPr>
              <a:solidFill>
                <a:schemeClr val="tx1">
                  <a:lumMod val="50000"/>
                  <a:lumOff val="50000"/>
                </a:schemeClr>
              </a:solidFill>
              <a:ln w="9525">
                <a:solidFill>
                  <a:schemeClr val="tx1"/>
                </a:solidFill>
              </a:ln>
              <a:effectLst/>
            </c:spPr>
            <c:extLst>
              <c:ext xmlns:c16="http://schemas.microsoft.com/office/drawing/2014/chart" uri="{C3380CC4-5D6E-409C-BE32-E72D297353CC}">
                <c16:uniqueId val="{0000000B-1E9B-4488-B181-A42C72390638}"/>
              </c:ext>
            </c:extLst>
          </c:dPt>
          <c:dPt>
            <c:idx val="6"/>
            <c:bubble3D val="0"/>
            <c:spPr>
              <a:solidFill>
                <a:schemeClr val="bg1">
                  <a:lumMod val="65000"/>
                </a:schemeClr>
              </a:solidFill>
              <a:ln w="9525">
                <a:solidFill>
                  <a:schemeClr val="tx1"/>
                </a:solidFill>
              </a:ln>
              <a:effectLst/>
            </c:spPr>
            <c:extLst>
              <c:ext xmlns:c16="http://schemas.microsoft.com/office/drawing/2014/chart" uri="{C3380CC4-5D6E-409C-BE32-E72D297353CC}">
                <c16:uniqueId val="{0000000D-1E9B-4488-B181-A42C72390638}"/>
              </c:ext>
            </c:extLst>
          </c:dPt>
          <c:dPt>
            <c:idx val="7"/>
            <c:bubble3D val="0"/>
            <c:spPr>
              <a:solidFill>
                <a:schemeClr val="bg1">
                  <a:lumMod val="85000"/>
                </a:schemeClr>
              </a:solidFill>
              <a:ln w="9525">
                <a:solidFill>
                  <a:schemeClr val="tx1"/>
                </a:solidFill>
              </a:ln>
              <a:effectLst/>
            </c:spPr>
            <c:extLst>
              <c:ext xmlns:c16="http://schemas.microsoft.com/office/drawing/2014/chart" uri="{C3380CC4-5D6E-409C-BE32-E72D297353CC}">
                <c16:uniqueId val="{0000000F-1E9B-4488-B181-A42C72390638}"/>
              </c:ext>
            </c:extLst>
          </c:dPt>
          <c:dPt>
            <c:idx val="8"/>
            <c:bubble3D val="0"/>
            <c:spPr>
              <a:solidFill>
                <a:schemeClr val="bg1">
                  <a:lumMod val="95000"/>
                </a:schemeClr>
              </a:solidFill>
              <a:ln w="9525">
                <a:solidFill>
                  <a:schemeClr val="tx1"/>
                </a:solidFill>
              </a:ln>
              <a:effectLst/>
            </c:spPr>
            <c:extLst>
              <c:ext xmlns:c16="http://schemas.microsoft.com/office/drawing/2014/chart" uri="{C3380CC4-5D6E-409C-BE32-E72D297353CC}">
                <c16:uniqueId val="{00000011-1E9B-4488-B181-A42C72390638}"/>
              </c:ext>
            </c:extLst>
          </c:dPt>
          <c:cat>
            <c:strRef>
              <c:f>図表使用期間!$B$5:$J$5</c:f>
              <c:strCache>
                <c:ptCount val="9"/>
                <c:pt idx="0">
                  <c:v>0:Within 1 yr.</c:v>
                </c:pt>
                <c:pt idx="1">
                  <c:v>1:1 yr.</c:v>
                </c:pt>
                <c:pt idx="2">
                  <c:v>2:2 yrs.</c:v>
                </c:pt>
                <c:pt idx="3">
                  <c:v>3:3 yrs.</c:v>
                </c:pt>
                <c:pt idx="4">
                  <c:v>4:4 yrs.</c:v>
                </c:pt>
                <c:pt idx="5">
                  <c:v>5:5 yrs.</c:v>
                </c:pt>
                <c:pt idx="6">
                  <c:v>6:Over 6 yrs.</c:v>
                </c:pt>
                <c:pt idx="7">
                  <c:v>8:Over 10 yrs.</c:v>
                </c:pt>
                <c:pt idx="8">
                  <c:v>9:Not Clear</c:v>
                </c:pt>
              </c:strCache>
            </c:strRef>
          </c:cat>
          <c:val>
            <c:numRef>
              <c:f>図表使用期間!$B$6:$J$6</c:f>
              <c:numCache>
                <c:formatCode>General</c:formatCode>
                <c:ptCount val="9"/>
                <c:pt idx="0">
                  <c:v>1469</c:v>
                </c:pt>
                <c:pt idx="1">
                  <c:v>248</c:v>
                </c:pt>
                <c:pt idx="2">
                  <c:v>125</c:v>
                </c:pt>
                <c:pt idx="3">
                  <c:v>90</c:v>
                </c:pt>
                <c:pt idx="4">
                  <c:v>30</c:v>
                </c:pt>
                <c:pt idx="5">
                  <c:v>70</c:v>
                </c:pt>
                <c:pt idx="6">
                  <c:v>48</c:v>
                </c:pt>
                <c:pt idx="7">
                  <c:v>18</c:v>
                </c:pt>
                <c:pt idx="8">
                  <c:v>158</c:v>
                </c:pt>
              </c:numCache>
            </c:numRef>
          </c:val>
          <c:extLst>
            <c:ext xmlns:c16="http://schemas.microsoft.com/office/drawing/2014/chart" uri="{C3380CC4-5D6E-409C-BE32-E72D297353CC}">
              <c16:uniqueId val="{00000012-1E9B-4488-B181-A42C72390638}"/>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ja-JP"/>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ja-JP"/>
              <a:t>Bags</a:t>
            </a:r>
            <a:endParaRPr lang="ja-JP" altLang="en-US"/>
          </a:p>
        </c:rich>
      </c:tx>
      <c:overlay val="0"/>
      <c:spPr>
        <a:noFill/>
        <a:ln>
          <a:noFill/>
        </a:ln>
        <a:effectLst/>
      </c:spPr>
    </c:title>
    <c:autoTitleDeleted val="0"/>
    <c:plotArea>
      <c:layout/>
      <c:doughnutChart>
        <c:varyColors val="1"/>
        <c:ser>
          <c:idx val="0"/>
          <c:order val="0"/>
          <c:tx>
            <c:strRef>
              <c:f>図表使用期間!$A$13</c:f>
              <c:strCache>
                <c:ptCount val="1"/>
                <c:pt idx="0">
                  <c:v>Bags</c:v>
                </c:pt>
              </c:strCache>
            </c:strRef>
          </c:tx>
          <c:spPr>
            <a:ln w="9525">
              <a:solidFill>
                <a:schemeClr val="tx1"/>
              </a:solidFill>
            </a:ln>
          </c:spPr>
          <c:dPt>
            <c:idx val="0"/>
            <c:bubble3D val="0"/>
            <c:spPr>
              <a:solidFill>
                <a:schemeClr val="bg1"/>
              </a:solidFill>
              <a:ln w="9525">
                <a:solidFill>
                  <a:schemeClr val="tx1"/>
                </a:solidFill>
              </a:ln>
              <a:effectLst/>
            </c:spPr>
            <c:extLst>
              <c:ext xmlns:c16="http://schemas.microsoft.com/office/drawing/2014/chart" uri="{C3380CC4-5D6E-409C-BE32-E72D297353CC}">
                <c16:uniqueId val="{00000001-DE92-4A60-84DB-A4854CE10BEF}"/>
              </c:ext>
            </c:extLst>
          </c:dPt>
          <c:dPt>
            <c:idx val="1"/>
            <c:bubble3D val="0"/>
            <c:spPr>
              <a:solidFill>
                <a:schemeClr val="bg1">
                  <a:lumMod val="95000"/>
                </a:schemeClr>
              </a:solidFill>
              <a:ln w="9525">
                <a:solidFill>
                  <a:schemeClr val="tx1"/>
                </a:solidFill>
              </a:ln>
              <a:effectLst/>
            </c:spPr>
            <c:extLst>
              <c:ext xmlns:c16="http://schemas.microsoft.com/office/drawing/2014/chart" uri="{C3380CC4-5D6E-409C-BE32-E72D297353CC}">
                <c16:uniqueId val="{00000003-DE92-4A60-84DB-A4854CE10BEF}"/>
              </c:ext>
            </c:extLst>
          </c:dPt>
          <c:dPt>
            <c:idx val="2"/>
            <c:bubble3D val="0"/>
            <c:spPr>
              <a:solidFill>
                <a:schemeClr val="bg1">
                  <a:lumMod val="85000"/>
                </a:schemeClr>
              </a:solidFill>
              <a:ln w="9525">
                <a:solidFill>
                  <a:schemeClr val="tx1"/>
                </a:solidFill>
              </a:ln>
              <a:effectLst/>
            </c:spPr>
            <c:extLst>
              <c:ext xmlns:c16="http://schemas.microsoft.com/office/drawing/2014/chart" uri="{C3380CC4-5D6E-409C-BE32-E72D297353CC}">
                <c16:uniqueId val="{00000005-DE92-4A60-84DB-A4854CE10BEF}"/>
              </c:ext>
            </c:extLst>
          </c:dPt>
          <c:dPt>
            <c:idx val="3"/>
            <c:bubble3D val="0"/>
            <c:spPr>
              <a:solidFill>
                <a:schemeClr val="tx1"/>
              </a:solidFill>
              <a:ln w="9525">
                <a:solidFill>
                  <a:schemeClr val="tx1"/>
                </a:solidFill>
              </a:ln>
              <a:effectLst/>
            </c:spPr>
            <c:extLst>
              <c:ext xmlns:c16="http://schemas.microsoft.com/office/drawing/2014/chart" uri="{C3380CC4-5D6E-409C-BE32-E72D297353CC}">
                <c16:uniqueId val="{00000007-DE92-4A60-84DB-A4854CE10BEF}"/>
              </c:ext>
            </c:extLst>
          </c:dPt>
          <c:dPt>
            <c:idx val="4"/>
            <c:bubble3D val="0"/>
            <c:spPr>
              <a:solidFill>
                <a:schemeClr val="tx1">
                  <a:lumMod val="75000"/>
                  <a:lumOff val="25000"/>
                </a:schemeClr>
              </a:solidFill>
              <a:ln w="9525">
                <a:solidFill>
                  <a:schemeClr val="tx1"/>
                </a:solidFill>
              </a:ln>
              <a:effectLst/>
            </c:spPr>
            <c:extLst>
              <c:ext xmlns:c16="http://schemas.microsoft.com/office/drawing/2014/chart" uri="{C3380CC4-5D6E-409C-BE32-E72D297353CC}">
                <c16:uniqueId val="{00000009-DE92-4A60-84DB-A4854CE10BEF}"/>
              </c:ext>
            </c:extLst>
          </c:dPt>
          <c:dPt>
            <c:idx val="5"/>
            <c:bubble3D val="0"/>
            <c:spPr>
              <a:solidFill>
                <a:schemeClr val="tx1">
                  <a:lumMod val="50000"/>
                  <a:lumOff val="50000"/>
                </a:schemeClr>
              </a:solidFill>
              <a:ln w="9525">
                <a:solidFill>
                  <a:schemeClr val="tx1"/>
                </a:solidFill>
              </a:ln>
              <a:effectLst/>
            </c:spPr>
            <c:extLst>
              <c:ext xmlns:c16="http://schemas.microsoft.com/office/drawing/2014/chart" uri="{C3380CC4-5D6E-409C-BE32-E72D297353CC}">
                <c16:uniqueId val="{0000000B-DE92-4A60-84DB-A4854CE10BEF}"/>
              </c:ext>
            </c:extLst>
          </c:dPt>
          <c:dPt>
            <c:idx val="6"/>
            <c:bubble3D val="0"/>
            <c:spPr>
              <a:solidFill>
                <a:schemeClr val="bg1">
                  <a:lumMod val="65000"/>
                </a:schemeClr>
              </a:solidFill>
              <a:ln w="9525">
                <a:solidFill>
                  <a:schemeClr val="tx1"/>
                </a:solidFill>
              </a:ln>
              <a:effectLst/>
            </c:spPr>
            <c:extLst>
              <c:ext xmlns:c16="http://schemas.microsoft.com/office/drawing/2014/chart" uri="{C3380CC4-5D6E-409C-BE32-E72D297353CC}">
                <c16:uniqueId val="{0000000D-DE92-4A60-84DB-A4854CE10BEF}"/>
              </c:ext>
            </c:extLst>
          </c:dPt>
          <c:dPt>
            <c:idx val="7"/>
            <c:bubble3D val="0"/>
            <c:spPr>
              <a:solidFill>
                <a:schemeClr val="bg1">
                  <a:lumMod val="85000"/>
                </a:schemeClr>
              </a:solidFill>
              <a:ln w="9525">
                <a:solidFill>
                  <a:schemeClr val="tx1"/>
                </a:solidFill>
              </a:ln>
              <a:effectLst/>
            </c:spPr>
            <c:extLst>
              <c:ext xmlns:c16="http://schemas.microsoft.com/office/drawing/2014/chart" uri="{C3380CC4-5D6E-409C-BE32-E72D297353CC}">
                <c16:uniqueId val="{0000000F-DE92-4A60-84DB-A4854CE10BEF}"/>
              </c:ext>
            </c:extLst>
          </c:dPt>
          <c:dPt>
            <c:idx val="8"/>
            <c:bubble3D val="0"/>
            <c:spPr>
              <a:solidFill>
                <a:schemeClr val="bg1">
                  <a:lumMod val="95000"/>
                </a:schemeClr>
              </a:solidFill>
              <a:ln w="9525">
                <a:solidFill>
                  <a:schemeClr val="tx1"/>
                </a:solidFill>
              </a:ln>
              <a:effectLst/>
            </c:spPr>
            <c:extLst>
              <c:ext xmlns:c16="http://schemas.microsoft.com/office/drawing/2014/chart" uri="{C3380CC4-5D6E-409C-BE32-E72D297353CC}">
                <c16:uniqueId val="{00000011-DE92-4A60-84DB-A4854CE10BEF}"/>
              </c:ext>
            </c:extLst>
          </c:dPt>
          <c:cat>
            <c:strRef>
              <c:f>図表使用期間!$B$12:$J$12</c:f>
              <c:strCache>
                <c:ptCount val="9"/>
                <c:pt idx="0">
                  <c:v>0:Within 1 yr.</c:v>
                </c:pt>
                <c:pt idx="1">
                  <c:v>1:1 yr.</c:v>
                </c:pt>
                <c:pt idx="2">
                  <c:v>2:2 yrs.</c:v>
                </c:pt>
                <c:pt idx="3">
                  <c:v>3:3 yrs.</c:v>
                </c:pt>
                <c:pt idx="4">
                  <c:v>4:4 yrs.</c:v>
                </c:pt>
                <c:pt idx="5">
                  <c:v>5:5 yrs.</c:v>
                </c:pt>
                <c:pt idx="6">
                  <c:v>6:Over 6 yrs.</c:v>
                </c:pt>
                <c:pt idx="7">
                  <c:v>8:Over 10 yrs.</c:v>
                </c:pt>
                <c:pt idx="8">
                  <c:v>9:Not Clear</c:v>
                </c:pt>
              </c:strCache>
            </c:strRef>
          </c:cat>
          <c:val>
            <c:numRef>
              <c:f>図表使用期間!$B$13:$J$13</c:f>
              <c:numCache>
                <c:formatCode>General</c:formatCode>
                <c:ptCount val="9"/>
                <c:pt idx="0">
                  <c:v>846</c:v>
                </c:pt>
                <c:pt idx="1">
                  <c:v>199</c:v>
                </c:pt>
                <c:pt idx="2">
                  <c:v>117</c:v>
                </c:pt>
                <c:pt idx="3">
                  <c:v>99</c:v>
                </c:pt>
                <c:pt idx="4">
                  <c:v>40</c:v>
                </c:pt>
                <c:pt idx="5">
                  <c:v>78</c:v>
                </c:pt>
                <c:pt idx="6">
                  <c:v>62</c:v>
                </c:pt>
                <c:pt idx="7">
                  <c:v>53</c:v>
                </c:pt>
                <c:pt idx="8">
                  <c:v>134</c:v>
                </c:pt>
              </c:numCache>
            </c:numRef>
          </c:val>
          <c:extLst>
            <c:ext xmlns:c16="http://schemas.microsoft.com/office/drawing/2014/chart" uri="{C3380CC4-5D6E-409C-BE32-E72D297353CC}">
              <c16:uniqueId val="{00000012-DE92-4A60-84DB-A4854CE10BEF}"/>
            </c:ext>
          </c:extLst>
        </c:ser>
        <c:dLbls>
          <c:showLegendKey val="0"/>
          <c:showVal val="0"/>
          <c:showCatName val="0"/>
          <c:showSerName val="0"/>
          <c:showPercent val="0"/>
          <c:showBubbleSize val="0"/>
          <c:showLeaderLines val="1"/>
        </c:dLbls>
        <c:firstSliceAng val="0"/>
        <c:holeSize val="50"/>
      </c:doughnutChart>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extLst/>
  </c:chart>
  <c:spPr>
    <a:ln>
      <a:noFill/>
    </a:ln>
  </c:spPr>
  <c:txPr>
    <a:bodyPr/>
    <a:lstStyle/>
    <a:p>
      <a:pPr>
        <a:defRPr/>
      </a:pPr>
      <a:endParaRPr lang="ja-JP"/>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ja-JP"/>
              <a:t>Women's Shoes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ja-JP"/>
        </a:p>
      </c:txPr>
    </c:title>
    <c:autoTitleDeleted val="0"/>
    <c:plotArea>
      <c:layout/>
      <c:barChart>
        <c:barDir val="col"/>
        <c:grouping val="percentStacked"/>
        <c:varyColors val="0"/>
        <c:ser>
          <c:idx val="0"/>
          <c:order val="0"/>
          <c:tx>
            <c:strRef>
              <c:f>図表婦人靴!$P$5</c:f>
              <c:strCache>
                <c:ptCount val="1"/>
                <c:pt idx="0">
                  <c:v>41:Leather</c:v>
                </c:pt>
              </c:strCache>
            </c:strRef>
          </c:tx>
          <c:spPr>
            <a:solidFill>
              <a:schemeClr val="dk1">
                <a:tint val="88500"/>
              </a:schemeClr>
            </a:solidFill>
            <a:ln>
              <a:solidFill>
                <a:schemeClr val="tx1"/>
              </a:solidFill>
            </a:ln>
            <a:effectLst/>
          </c:spPr>
          <c:invertIfNegative val="0"/>
          <c:cat>
            <c:strRef>
              <c:f>図表婦人靴!$Q$4:$R$4</c:f>
              <c:strCache>
                <c:ptCount val="2"/>
                <c:pt idx="0">
                  <c:v>Within 3 yrs.</c:v>
                </c:pt>
                <c:pt idx="1">
                  <c:v>Over 3 yrs.</c:v>
                </c:pt>
              </c:strCache>
            </c:strRef>
          </c:cat>
          <c:val>
            <c:numRef>
              <c:f>図表婦人靴!$Q$5:$R$5</c:f>
              <c:numCache>
                <c:formatCode>General</c:formatCode>
                <c:ptCount val="2"/>
                <c:pt idx="0">
                  <c:v>816</c:v>
                </c:pt>
                <c:pt idx="1">
                  <c:v>62</c:v>
                </c:pt>
              </c:numCache>
            </c:numRef>
          </c:val>
          <c:extLst>
            <c:ext xmlns:c16="http://schemas.microsoft.com/office/drawing/2014/chart" uri="{C3380CC4-5D6E-409C-BE32-E72D297353CC}">
              <c16:uniqueId val="{00000000-89D3-43BD-9CFD-F740F0D2C593}"/>
            </c:ext>
          </c:extLst>
        </c:ser>
        <c:ser>
          <c:idx val="1"/>
          <c:order val="1"/>
          <c:tx>
            <c:strRef>
              <c:f>図表婦人靴!$P$6</c:f>
              <c:strCache>
                <c:ptCount val="1"/>
                <c:pt idx="0">
                  <c:v>42:Synthetic</c:v>
                </c:pt>
              </c:strCache>
            </c:strRef>
          </c:tx>
          <c:spPr>
            <a:solidFill>
              <a:schemeClr val="dk1">
                <a:tint val="55000"/>
              </a:schemeClr>
            </a:solidFill>
            <a:ln>
              <a:solidFill>
                <a:schemeClr val="tx1"/>
              </a:solidFill>
            </a:ln>
            <a:effectLst/>
          </c:spPr>
          <c:invertIfNegative val="0"/>
          <c:cat>
            <c:strRef>
              <c:f>図表婦人靴!$Q$4:$R$4</c:f>
              <c:strCache>
                <c:ptCount val="2"/>
                <c:pt idx="0">
                  <c:v>Within 3 yrs.</c:v>
                </c:pt>
                <c:pt idx="1">
                  <c:v>Over 3 yrs.</c:v>
                </c:pt>
              </c:strCache>
            </c:strRef>
          </c:cat>
          <c:val>
            <c:numRef>
              <c:f>図表婦人靴!$Q$6:$R$6</c:f>
              <c:numCache>
                <c:formatCode>General</c:formatCode>
                <c:ptCount val="2"/>
                <c:pt idx="0">
                  <c:v>264</c:v>
                </c:pt>
                <c:pt idx="1">
                  <c:v>30</c:v>
                </c:pt>
              </c:numCache>
            </c:numRef>
          </c:val>
          <c:extLst>
            <c:ext xmlns:c16="http://schemas.microsoft.com/office/drawing/2014/chart" uri="{C3380CC4-5D6E-409C-BE32-E72D297353CC}">
              <c16:uniqueId val="{00000001-89D3-43BD-9CFD-F740F0D2C593}"/>
            </c:ext>
          </c:extLst>
        </c:ser>
        <c:ser>
          <c:idx val="2"/>
          <c:order val="2"/>
          <c:tx>
            <c:strRef>
              <c:f>図表婦人靴!$P$7</c:f>
              <c:strCache>
                <c:ptCount val="1"/>
                <c:pt idx="0">
                  <c:v>48:Rubber</c:v>
                </c:pt>
              </c:strCache>
            </c:strRef>
          </c:tx>
          <c:spPr>
            <a:solidFill>
              <a:schemeClr val="dk1">
                <a:tint val="75000"/>
              </a:schemeClr>
            </a:solidFill>
            <a:ln>
              <a:solidFill>
                <a:schemeClr val="tx1"/>
              </a:solidFill>
            </a:ln>
            <a:effectLst/>
          </c:spPr>
          <c:invertIfNegative val="0"/>
          <c:cat>
            <c:strRef>
              <c:f>図表婦人靴!$Q$4:$R$4</c:f>
              <c:strCache>
                <c:ptCount val="2"/>
                <c:pt idx="0">
                  <c:v>Within 3 yrs.</c:v>
                </c:pt>
                <c:pt idx="1">
                  <c:v>Over 3 yrs.</c:v>
                </c:pt>
              </c:strCache>
            </c:strRef>
          </c:cat>
          <c:val>
            <c:numRef>
              <c:f>図表婦人靴!$Q$7:$R$7</c:f>
              <c:numCache>
                <c:formatCode>General</c:formatCode>
                <c:ptCount val="2"/>
                <c:pt idx="0">
                  <c:v>133</c:v>
                </c:pt>
                <c:pt idx="1">
                  <c:v>8</c:v>
                </c:pt>
              </c:numCache>
            </c:numRef>
          </c:val>
          <c:extLst>
            <c:ext xmlns:c16="http://schemas.microsoft.com/office/drawing/2014/chart" uri="{C3380CC4-5D6E-409C-BE32-E72D297353CC}">
              <c16:uniqueId val="{00000002-89D3-43BD-9CFD-F740F0D2C593}"/>
            </c:ext>
          </c:extLst>
        </c:ser>
        <c:ser>
          <c:idx val="3"/>
          <c:order val="3"/>
          <c:tx>
            <c:strRef>
              <c:f>図表婦人靴!$P$8</c:f>
              <c:strCache>
                <c:ptCount val="1"/>
                <c:pt idx="0">
                  <c:v>44:Textile</c:v>
                </c:pt>
              </c:strCache>
            </c:strRef>
          </c:tx>
          <c:spPr>
            <a:solidFill>
              <a:schemeClr val="dk1">
                <a:tint val="98500"/>
              </a:schemeClr>
            </a:solidFill>
            <a:ln>
              <a:solidFill>
                <a:schemeClr val="tx1"/>
              </a:solidFill>
            </a:ln>
            <a:effectLst/>
          </c:spPr>
          <c:invertIfNegative val="0"/>
          <c:cat>
            <c:strRef>
              <c:f>図表婦人靴!$Q$4:$R$4</c:f>
              <c:strCache>
                <c:ptCount val="2"/>
                <c:pt idx="0">
                  <c:v>Within 3 yrs.</c:v>
                </c:pt>
                <c:pt idx="1">
                  <c:v>Over 3 yrs.</c:v>
                </c:pt>
              </c:strCache>
            </c:strRef>
          </c:cat>
          <c:val>
            <c:numRef>
              <c:f>図表婦人靴!$Q$8:$R$8</c:f>
              <c:numCache>
                <c:formatCode>General</c:formatCode>
                <c:ptCount val="2"/>
                <c:pt idx="0">
                  <c:v>122</c:v>
                </c:pt>
                <c:pt idx="1">
                  <c:v>7</c:v>
                </c:pt>
              </c:numCache>
            </c:numRef>
          </c:val>
          <c:extLst>
            <c:ext xmlns:c16="http://schemas.microsoft.com/office/drawing/2014/chart" uri="{C3380CC4-5D6E-409C-BE32-E72D297353CC}">
              <c16:uniqueId val="{00000003-89D3-43BD-9CFD-F740F0D2C593}"/>
            </c:ext>
          </c:extLst>
        </c:ser>
        <c:ser>
          <c:idx val="4"/>
          <c:order val="4"/>
          <c:tx>
            <c:strRef>
              <c:f>図表婦人靴!$P$9</c:f>
              <c:strCache>
                <c:ptCount val="1"/>
                <c:pt idx="0">
                  <c:v>83:Polyurethane</c:v>
                </c:pt>
              </c:strCache>
            </c:strRef>
          </c:tx>
          <c:spPr>
            <a:solidFill>
              <a:schemeClr val="dk1">
                <a:tint val="30000"/>
              </a:schemeClr>
            </a:solidFill>
            <a:ln>
              <a:solidFill>
                <a:schemeClr val="tx1"/>
              </a:solidFill>
            </a:ln>
            <a:effectLst/>
          </c:spPr>
          <c:invertIfNegative val="0"/>
          <c:cat>
            <c:strRef>
              <c:f>図表婦人靴!$Q$4:$R$4</c:f>
              <c:strCache>
                <c:ptCount val="2"/>
                <c:pt idx="0">
                  <c:v>Within 3 yrs.</c:v>
                </c:pt>
                <c:pt idx="1">
                  <c:v>Over 3 yrs.</c:v>
                </c:pt>
              </c:strCache>
            </c:strRef>
          </c:cat>
          <c:val>
            <c:numRef>
              <c:f>図表婦人靴!$Q$9:$R$9</c:f>
              <c:numCache>
                <c:formatCode>General</c:formatCode>
                <c:ptCount val="2"/>
                <c:pt idx="0">
                  <c:v>37</c:v>
                </c:pt>
                <c:pt idx="1">
                  <c:v>89</c:v>
                </c:pt>
              </c:numCache>
            </c:numRef>
          </c:val>
          <c:extLst>
            <c:ext xmlns:c16="http://schemas.microsoft.com/office/drawing/2014/chart" uri="{C3380CC4-5D6E-409C-BE32-E72D297353CC}">
              <c16:uniqueId val="{00000004-89D3-43BD-9CFD-F740F0D2C593}"/>
            </c:ext>
          </c:extLst>
        </c:ser>
        <c:ser>
          <c:idx val="5"/>
          <c:order val="5"/>
          <c:tx>
            <c:strRef>
              <c:f>図表婦人靴!$P$10</c:f>
              <c:strCache>
                <c:ptCount val="1"/>
                <c:pt idx="0">
                  <c:v>70:Resin</c:v>
                </c:pt>
              </c:strCache>
            </c:strRef>
          </c:tx>
          <c:spPr>
            <a:solidFill>
              <a:schemeClr val="dk1">
                <a:tint val="60000"/>
              </a:schemeClr>
            </a:solidFill>
            <a:ln>
              <a:solidFill>
                <a:schemeClr val="tx1"/>
              </a:solidFill>
            </a:ln>
            <a:effectLst/>
          </c:spPr>
          <c:invertIfNegative val="0"/>
          <c:cat>
            <c:strRef>
              <c:f>図表婦人靴!$Q$4:$R$4</c:f>
              <c:strCache>
                <c:ptCount val="2"/>
                <c:pt idx="0">
                  <c:v>Within 3 yrs.</c:v>
                </c:pt>
                <c:pt idx="1">
                  <c:v>Over 3 yrs.</c:v>
                </c:pt>
              </c:strCache>
            </c:strRef>
          </c:cat>
          <c:val>
            <c:numRef>
              <c:f>図表婦人靴!$Q$10:$R$10</c:f>
              <c:numCache>
                <c:formatCode>General</c:formatCode>
                <c:ptCount val="2"/>
                <c:pt idx="0">
                  <c:v>70</c:v>
                </c:pt>
                <c:pt idx="1">
                  <c:v>12</c:v>
                </c:pt>
              </c:numCache>
            </c:numRef>
          </c:val>
          <c:extLst>
            <c:ext xmlns:c16="http://schemas.microsoft.com/office/drawing/2014/chart" uri="{C3380CC4-5D6E-409C-BE32-E72D297353CC}">
              <c16:uniqueId val="{00000005-89D3-43BD-9CFD-F740F0D2C593}"/>
            </c:ext>
          </c:extLst>
        </c:ser>
        <c:ser>
          <c:idx val="6"/>
          <c:order val="6"/>
          <c:tx>
            <c:strRef>
              <c:f>図表婦人靴!$P$11</c:f>
              <c:strCache>
                <c:ptCount val="1"/>
                <c:pt idx="0">
                  <c:v>98:Others</c:v>
                </c:pt>
              </c:strCache>
            </c:strRef>
          </c:tx>
          <c:spPr>
            <a:solidFill>
              <a:schemeClr val="dk1">
                <a:tint val="80000"/>
              </a:schemeClr>
            </a:solidFill>
            <a:ln>
              <a:solidFill>
                <a:schemeClr val="tx1"/>
              </a:solidFill>
            </a:ln>
            <a:effectLst/>
          </c:spPr>
          <c:invertIfNegative val="0"/>
          <c:cat>
            <c:strRef>
              <c:f>図表婦人靴!$Q$4:$R$4</c:f>
              <c:strCache>
                <c:ptCount val="2"/>
                <c:pt idx="0">
                  <c:v>Within 3 yrs.</c:v>
                </c:pt>
                <c:pt idx="1">
                  <c:v>Over 3 yrs.</c:v>
                </c:pt>
              </c:strCache>
            </c:strRef>
          </c:cat>
          <c:val>
            <c:numRef>
              <c:f>図表婦人靴!$Q$11:$R$11</c:f>
              <c:numCache>
                <c:formatCode>General</c:formatCode>
                <c:ptCount val="2"/>
                <c:pt idx="0">
                  <c:v>60</c:v>
                </c:pt>
                <c:pt idx="1">
                  <c:v>5</c:v>
                </c:pt>
              </c:numCache>
            </c:numRef>
          </c:val>
          <c:extLst>
            <c:ext xmlns:c16="http://schemas.microsoft.com/office/drawing/2014/chart" uri="{C3380CC4-5D6E-409C-BE32-E72D297353CC}">
              <c16:uniqueId val="{00000006-89D3-43BD-9CFD-F740F0D2C593}"/>
            </c:ext>
          </c:extLst>
        </c:ser>
        <c:ser>
          <c:idx val="7"/>
          <c:order val="7"/>
          <c:tx>
            <c:strRef>
              <c:f>図表婦人靴!$P$12</c:f>
              <c:strCache>
                <c:ptCount val="1"/>
                <c:pt idx="0">
                  <c:v>99:Not Clear</c:v>
                </c:pt>
              </c:strCache>
            </c:strRef>
          </c:tx>
          <c:spPr>
            <a:solidFill>
              <a:schemeClr val="dk1">
                <a:tint val="88500"/>
              </a:schemeClr>
            </a:solidFill>
            <a:ln>
              <a:solidFill>
                <a:schemeClr val="tx1"/>
              </a:solidFill>
            </a:ln>
            <a:effectLst/>
          </c:spPr>
          <c:invertIfNegative val="0"/>
          <c:cat>
            <c:strRef>
              <c:f>図表婦人靴!$Q$4:$R$4</c:f>
              <c:strCache>
                <c:ptCount val="2"/>
                <c:pt idx="0">
                  <c:v>Within 3 yrs.</c:v>
                </c:pt>
                <c:pt idx="1">
                  <c:v>Over 3 yrs.</c:v>
                </c:pt>
              </c:strCache>
            </c:strRef>
          </c:cat>
          <c:val>
            <c:numRef>
              <c:f>図表婦人靴!$Q$12:$R$12</c:f>
              <c:numCache>
                <c:formatCode>General</c:formatCode>
                <c:ptCount val="2"/>
                <c:pt idx="0">
                  <c:v>340</c:v>
                </c:pt>
                <c:pt idx="1">
                  <c:v>43</c:v>
                </c:pt>
              </c:numCache>
            </c:numRef>
          </c:val>
          <c:extLst>
            <c:ext xmlns:c16="http://schemas.microsoft.com/office/drawing/2014/chart" uri="{C3380CC4-5D6E-409C-BE32-E72D297353CC}">
              <c16:uniqueId val="{00000007-89D3-43BD-9CFD-F740F0D2C593}"/>
            </c:ext>
          </c:extLst>
        </c:ser>
        <c:dLbls>
          <c:showLegendKey val="0"/>
          <c:showVal val="0"/>
          <c:showCatName val="0"/>
          <c:showSerName val="0"/>
          <c:showPercent val="0"/>
          <c:showBubbleSize val="0"/>
        </c:dLbls>
        <c:gapWidth val="300"/>
        <c:overlap val="100"/>
        <c:serLines>
          <c:spPr>
            <a:ln w="9525" cap="flat" cmpd="sng" algn="ctr">
              <a:solidFill>
                <a:schemeClr val="tx1">
                  <a:lumMod val="35000"/>
                  <a:lumOff val="65000"/>
                </a:schemeClr>
              </a:solidFill>
              <a:round/>
            </a:ln>
            <a:effectLst/>
          </c:spPr>
        </c:serLines>
        <c:axId val="544126096"/>
        <c:axId val="544127744"/>
      </c:barChart>
      <c:catAx>
        <c:axId val="544126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544127744"/>
        <c:crosses val="autoZero"/>
        <c:auto val="1"/>
        <c:lblAlgn val="ctr"/>
        <c:lblOffset val="100"/>
        <c:noMultiLvlLbl val="0"/>
      </c:catAx>
      <c:valAx>
        <c:axId val="5441277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544126096"/>
        <c:crosses val="autoZero"/>
        <c:crossBetween val="between"/>
      </c:valAx>
      <c:spPr>
        <a:noFill/>
        <a:ln>
          <a:noFill/>
        </a:ln>
        <a:effectLst/>
      </c:spPr>
    </c:plotArea>
    <c:legend>
      <c:legendPos val="r"/>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ja-JP"/>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ja-JP"/>
              <a:t>Leather Women's Shoes</a:t>
            </a:r>
            <a:endParaRPr lang="ja-JP" altLang="en-US"/>
          </a:p>
        </c:rich>
      </c:tx>
      <c:overlay val="0"/>
      <c:spPr>
        <a:noFill/>
        <a:ln>
          <a:noFill/>
        </a:ln>
        <a:effectLst/>
      </c:spPr>
    </c:title>
    <c:autoTitleDeleted val="0"/>
    <c:plotArea>
      <c:layout/>
      <c:doughnutChart>
        <c:varyColors val="1"/>
        <c:ser>
          <c:idx val="0"/>
          <c:order val="0"/>
          <c:tx>
            <c:strRef>
              <c:f>図表婦人靴!$I$32</c:f>
              <c:strCache>
                <c:ptCount val="1"/>
                <c:pt idx="0">
                  <c:v>総計</c:v>
                </c:pt>
              </c:strCache>
            </c:strRef>
          </c:tx>
          <c:spPr>
            <a:ln>
              <a:solidFill>
                <a:schemeClr val="tx1"/>
              </a:solidFill>
            </a:ln>
          </c:spPr>
          <c:dPt>
            <c:idx val="0"/>
            <c:bubble3D val="0"/>
            <c:spPr>
              <a:solidFill>
                <a:schemeClr val="dk1">
                  <a:tint val="88500"/>
                </a:schemeClr>
              </a:solidFill>
              <a:ln>
                <a:solidFill>
                  <a:schemeClr val="tx1"/>
                </a:solidFill>
              </a:ln>
              <a:effectLst/>
            </c:spPr>
            <c:extLst>
              <c:ext xmlns:c16="http://schemas.microsoft.com/office/drawing/2014/chart" uri="{C3380CC4-5D6E-409C-BE32-E72D297353CC}">
                <c16:uniqueId val="{00000001-F997-4C97-8CF7-DDE100847A84}"/>
              </c:ext>
            </c:extLst>
          </c:dPt>
          <c:dPt>
            <c:idx val="1"/>
            <c:bubble3D val="0"/>
            <c:spPr>
              <a:solidFill>
                <a:schemeClr val="dk1">
                  <a:tint val="55000"/>
                </a:schemeClr>
              </a:solidFill>
              <a:ln>
                <a:solidFill>
                  <a:schemeClr val="tx1"/>
                </a:solidFill>
              </a:ln>
              <a:effectLst/>
            </c:spPr>
            <c:extLst>
              <c:ext xmlns:c16="http://schemas.microsoft.com/office/drawing/2014/chart" uri="{C3380CC4-5D6E-409C-BE32-E72D297353CC}">
                <c16:uniqueId val="{00000003-F997-4C97-8CF7-DDE100847A84}"/>
              </c:ext>
            </c:extLst>
          </c:dPt>
          <c:dPt>
            <c:idx val="2"/>
            <c:bubble3D val="0"/>
            <c:spPr>
              <a:solidFill>
                <a:schemeClr val="dk1">
                  <a:tint val="75000"/>
                </a:schemeClr>
              </a:solidFill>
              <a:ln>
                <a:solidFill>
                  <a:schemeClr val="tx1"/>
                </a:solidFill>
              </a:ln>
              <a:effectLst/>
            </c:spPr>
            <c:extLst>
              <c:ext xmlns:c16="http://schemas.microsoft.com/office/drawing/2014/chart" uri="{C3380CC4-5D6E-409C-BE32-E72D297353CC}">
                <c16:uniqueId val="{00000005-F997-4C97-8CF7-DDE100847A84}"/>
              </c:ext>
            </c:extLst>
          </c:dPt>
          <c:dPt>
            <c:idx val="3"/>
            <c:bubble3D val="0"/>
            <c:spPr>
              <a:solidFill>
                <a:schemeClr val="dk1">
                  <a:tint val="98500"/>
                </a:schemeClr>
              </a:solidFill>
              <a:ln>
                <a:solidFill>
                  <a:schemeClr val="tx1"/>
                </a:solidFill>
              </a:ln>
              <a:effectLst/>
            </c:spPr>
            <c:extLst>
              <c:ext xmlns:c16="http://schemas.microsoft.com/office/drawing/2014/chart" uri="{C3380CC4-5D6E-409C-BE32-E72D297353CC}">
                <c16:uniqueId val="{00000007-F997-4C97-8CF7-DDE100847A84}"/>
              </c:ext>
            </c:extLst>
          </c:dPt>
          <c:dPt>
            <c:idx val="4"/>
            <c:bubble3D val="0"/>
            <c:spPr>
              <a:solidFill>
                <a:schemeClr val="dk1">
                  <a:tint val="30000"/>
                </a:schemeClr>
              </a:solidFill>
              <a:ln>
                <a:solidFill>
                  <a:schemeClr val="tx1"/>
                </a:solidFill>
              </a:ln>
              <a:effectLst/>
            </c:spPr>
            <c:extLst>
              <c:ext xmlns:c16="http://schemas.microsoft.com/office/drawing/2014/chart" uri="{C3380CC4-5D6E-409C-BE32-E72D297353CC}">
                <c16:uniqueId val="{00000009-F997-4C97-8CF7-DDE100847A84}"/>
              </c:ext>
            </c:extLst>
          </c:dPt>
          <c:dPt>
            <c:idx val="5"/>
            <c:bubble3D val="0"/>
            <c:spPr>
              <a:solidFill>
                <a:schemeClr val="dk1">
                  <a:tint val="60000"/>
                </a:schemeClr>
              </a:solidFill>
              <a:ln>
                <a:solidFill>
                  <a:schemeClr val="tx1"/>
                </a:solidFill>
              </a:ln>
              <a:effectLst/>
            </c:spPr>
            <c:extLst>
              <c:ext xmlns:c16="http://schemas.microsoft.com/office/drawing/2014/chart" uri="{C3380CC4-5D6E-409C-BE32-E72D297353CC}">
                <c16:uniqueId val="{0000000B-F997-4C97-8CF7-DDE100847A84}"/>
              </c:ext>
            </c:extLst>
          </c:dPt>
          <c:cat>
            <c:strRef>
              <c:f>図表婦人靴!$H$33:$H$38</c:f>
              <c:strCache>
                <c:ptCount val="6"/>
                <c:pt idx="0">
                  <c:v>112:Discolored</c:v>
                </c:pt>
                <c:pt idx="1">
                  <c:v>138:Detouch Adhesive</c:v>
                </c:pt>
                <c:pt idx="2">
                  <c:v>134:Outsole-Cracked</c:v>
                </c:pt>
                <c:pt idx="3">
                  <c:v>174:Poor Finished</c:v>
                </c:pt>
                <c:pt idx="4">
                  <c:v>132:Upper-Torned</c:v>
                </c:pt>
                <c:pt idx="5">
                  <c:v>999:Others</c:v>
                </c:pt>
              </c:strCache>
            </c:strRef>
          </c:cat>
          <c:val>
            <c:numRef>
              <c:f>図表婦人靴!$I$33:$I$38</c:f>
              <c:numCache>
                <c:formatCode>General</c:formatCode>
                <c:ptCount val="6"/>
                <c:pt idx="0">
                  <c:v>8</c:v>
                </c:pt>
                <c:pt idx="1">
                  <c:v>6</c:v>
                </c:pt>
                <c:pt idx="2">
                  <c:v>5</c:v>
                </c:pt>
                <c:pt idx="3">
                  <c:v>5</c:v>
                </c:pt>
                <c:pt idx="4">
                  <c:v>5</c:v>
                </c:pt>
                <c:pt idx="5">
                  <c:v>33</c:v>
                </c:pt>
              </c:numCache>
            </c:numRef>
          </c:val>
          <c:extLst>
            <c:ext xmlns:c16="http://schemas.microsoft.com/office/drawing/2014/chart" uri="{C3380CC4-5D6E-409C-BE32-E72D297353CC}">
              <c16:uniqueId val="{0000000C-F997-4C97-8CF7-DDE100847A84}"/>
            </c:ext>
          </c:extLst>
        </c:ser>
        <c:dLbls>
          <c:showLegendKey val="0"/>
          <c:showVal val="0"/>
          <c:showCatName val="0"/>
          <c:showSerName val="0"/>
          <c:showPercent val="0"/>
          <c:showBubbleSize val="0"/>
          <c:showLeaderLines val="0"/>
        </c:dLbls>
        <c:firstSliceAng val="0"/>
        <c:holeSize val="50"/>
      </c:doughnutChart>
      <c:spPr>
        <a:noFill/>
        <a:ln>
          <a:noFill/>
        </a:ln>
        <a:effectLst/>
      </c:spPr>
    </c:plotArea>
    <c:legend>
      <c:legendPos val="r"/>
      <c:layout>
        <c:manualLayout>
          <c:xMode val="edge"/>
          <c:yMode val="edge"/>
          <c:x val="0.63038127211961836"/>
          <c:y val="0.18358398182683308"/>
          <c:w val="0.34074481065227769"/>
          <c:h val="0.816416018173167"/>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extLst/>
  </c:chart>
  <c:spPr>
    <a:ln>
      <a:noFill/>
    </a:ln>
  </c:spPr>
  <c:txPr>
    <a:bodyPr/>
    <a:lstStyle/>
    <a:p>
      <a:pPr>
        <a:defRPr/>
      </a:pPr>
      <a:endParaRPr lang="ja-JP"/>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ja-JP"/>
              <a:t>Synthetic</a:t>
            </a:r>
            <a:r>
              <a:rPr lang="en-US" altLang="ja-JP" baseline="0"/>
              <a:t> Women's Shoes</a:t>
            </a:r>
          </a:p>
        </c:rich>
      </c:tx>
      <c:overlay val="0"/>
      <c:spPr>
        <a:noFill/>
        <a:ln>
          <a:noFill/>
        </a:ln>
        <a:effectLst/>
      </c:spPr>
    </c:title>
    <c:autoTitleDeleted val="0"/>
    <c:plotArea>
      <c:layout/>
      <c:doughnutChart>
        <c:varyColors val="1"/>
        <c:ser>
          <c:idx val="0"/>
          <c:order val="0"/>
          <c:tx>
            <c:strRef>
              <c:f>図表婦人靴!$I$61</c:f>
              <c:strCache>
                <c:ptCount val="1"/>
                <c:pt idx="0">
                  <c:v>総計</c:v>
                </c:pt>
              </c:strCache>
            </c:strRef>
          </c:tx>
          <c:spPr>
            <a:ln>
              <a:solidFill>
                <a:schemeClr val="tx1"/>
              </a:solidFill>
            </a:ln>
          </c:spPr>
          <c:dPt>
            <c:idx val="0"/>
            <c:bubble3D val="0"/>
            <c:spPr>
              <a:solidFill>
                <a:schemeClr val="dk1">
                  <a:tint val="88500"/>
                </a:schemeClr>
              </a:solidFill>
              <a:ln>
                <a:solidFill>
                  <a:schemeClr val="tx1"/>
                </a:solidFill>
              </a:ln>
              <a:effectLst/>
            </c:spPr>
            <c:extLst>
              <c:ext xmlns:c16="http://schemas.microsoft.com/office/drawing/2014/chart" uri="{C3380CC4-5D6E-409C-BE32-E72D297353CC}">
                <c16:uniqueId val="{00000001-6C20-491C-99A9-EA753F6ED1A2}"/>
              </c:ext>
            </c:extLst>
          </c:dPt>
          <c:dPt>
            <c:idx val="1"/>
            <c:bubble3D val="0"/>
            <c:spPr>
              <a:solidFill>
                <a:schemeClr val="dk1">
                  <a:tint val="55000"/>
                </a:schemeClr>
              </a:solidFill>
              <a:ln>
                <a:solidFill>
                  <a:schemeClr val="tx1"/>
                </a:solidFill>
              </a:ln>
              <a:effectLst/>
            </c:spPr>
            <c:extLst>
              <c:ext xmlns:c16="http://schemas.microsoft.com/office/drawing/2014/chart" uri="{C3380CC4-5D6E-409C-BE32-E72D297353CC}">
                <c16:uniqueId val="{00000003-6C20-491C-99A9-EA753F6ED1A2}"/>
              </c:ext>
            </c:extLst>
          </c:dPt>
          <c:dPt>
            <c:idx val="2"/>
            <c:bubble3D val="0"/>
            <c:spPr>
              <a:solidFill>
                <a:schemeClr val="dk1">
                  <a:tint val="75000"/>
                </a:schemeClr>
              </a:solidFill>
              <a:ln>
                <a:solidFill>
                  <a:schemeClr val="tx1"/>
                </a:solidFill>
              </a:ln>
              <a:effectLst/>
            </c:spPr>
            <c:extLst>
              <c:ext xmlns:c16="http://schemas.microsoft.com/office/drawing/2014/chart" uri="{C3380CC4-5D6E-409C-BE32-E72D297353CC}">
                <c16:uniqueId val="{00000005-6C20-491C-99A9-EA753F6ED1A2}"/>
              </c:ext>
            </c:extLst>
          </c:dPt>
          <c:dPt>
            <c:idx val="3"/>
            <c:bubble3D val="0"/>
            <c:spPr>
              <a:solidFill>
                <a:schemeClr val="dk1">
                  <a:tint val="98500"/>
                </a:schemeClr>
              </a:solidFill>
              <a:ln>
                <a:solidFill>
                  <a:schemeClr val="tx1"/>
                </a:solidFill>
              </a:ln>
              <a:effectLst/>
            </c:spPr>
            <c:extLst>
              <c:ext xmlns:c16="http://schemas.microsoft.com/office/drawing/2014/chart" uri="{C3380CC4-5D6E-409C-BE32-E72D297353CC}">
                <c16:uniqueId val="{00000007-6C20-491C-99A9-EA753F6ED1A2}"/>
              </c:ext>
            </c:extLst>
          </c:dPt>
          <c:dPt>
            <c:idx val="4"/>
            <c:bubble3D val="0"/>
            <c:spPr>
              <a:solidFill>
                <a:schemeClr val="dk1">
                  <a:tint val="30000"/>
                </a:schemeClr>
              </a:solidFill>
              <a:ln>
                <a:solidFill>
                  <a:schemeClr val="tx1"/>
                </a:solidFill>
              </a:ln>
              <a:effectLst/>
            </c:spPr>
            <c:extLst>
              <c:ext xmlns:c16="http://schemas.microsoft.com/office/drawing/2014/chart" uri="{C3380CC4-5D6E-409C-BE32-E72D297353CC}">
                <c16:uniqueId val="{00000009-6C20-491C-99A9-EA753F6ED1A2}"/>
              </c:ext>
            </c:extLst>
          </c:dPt>
          <c:dPt>
            <c:idx val="5"/>
            <c:bubble3D val="0"/>
            <c:spPr>
              <a:solidFill>
                <a:schemeClr val="dk1">
                  <a:tint val="60000"/>
                </a:schemeClr>
              </a:solidFill>
              <a:ln>
                <a:solidFill>
                  <a:schemeClr val="tx1"/>
                </a:solidFill>
              </a:ln>
              <a:effectLst/>
            </c:spPr>
            <c:extLst>
              <c:ext xmlns:c16="http://schemas.microsoft.com/office/drawing/2014/chart" uri="{C3380CC4-5D6E-409C-BE32-E72D297353CC}">
                <c16:uniqueId val="{0000000B-6C20-491C-99A9-EA753F6ED1A2}"/>
              </c:ext>
            </c:extLst>
          </c:dPt>
          <c:cat>
            <c:strRef>
              <c:f>図表婦人靴!$H$62:$H$67</c:f>
              <c:strCache>
                <c:ptCount val="6"/>
                <c:pt idx="0">
                  <c:v>131:Upper-Cracked</c:v>
                </c:pt>
                <c:pt idx="1">
                  <c:v>149:Deformed</c:v>
                </c:pt>
                <c:pt idx="2">
                  <c:v>138:Detouch Adhesive</c:v>
                </c:pt>
                <c:pt idx="3">
                  <c:v>113:Softened</c:v>
                </c:pt>
                <c:pt idx="4">
                  <c:v>111:Color Fading</c:v>
                </c:pt>
                <c:pt idx="5">
                  <c:v>999:Others</c:v>
                </c:pt>
              </c:strCache>
            </c:strRef>
          </c:cat>
          <c:val>
            <c:numRef>
              <c:f>図表婦人靴!$I$62:$I$67</c:f>
              <c:numCache>
                <c:formatCode>General</c:formatCode>
                <c:ptCount val="6"/>
                <c:pt idx="0">
                  <c:v>12</c:v>
                </c:pt>
                <c:pt idx="1">
                  <c:v>5</c:v>
                </c:pt>
                <c:pt idx="2">
                  <c:v>4</c:v>
                </c:pt>
                <c:pt idx="3">
                  <c:v>3</c:v>
                </c:pt>
                <c:pt idx="4">
                  <c:v>2</c:v>
                </c:pt>
                <c:pt idx="5">
                  <c:v>4</c:v>
                </c:pt>
              </c:numCache>
            </c:numRef>
          </c:val>
          <c:extLst>
            <c:ext xmlns:c16="http://schemas.microsoft.com/office/drawing/2014/chart" uri="{C3380CC4-5D6E-409C-BE32-E72D297353CC}">
              <c16:uniqueId val="{0000000C-6C20-491C-99A9-EA753F6ED1A2}"/>
            </c:ext>
          </c:extLst>
        </c:ser>
        <c:dLbls>
          <c:showLegendKey val="0"/>
          <c:showVal val="0"/>
          <c:showCatName val="0"/>
          <c:showSerName val="0"/>
          <c:showPercent val="0"/>
          <c:showBubbleSize val="0"/>
          <c:showLeaderLines val="0"/>
        </c:dLbls>
        <c:firstSliceAng val="0"/>
        <c:holeSize val="50"/>
      </c:doughnutChart>
      <c:spPr>
        <a:noFill/>
        <a:ln>
          <a:noFill/>
        </a:ln>
        <a:effectLst/>
      </c:spPr>
    </c:plotArea>
    <c:legend>
      <c:legendPos val="r"/>
      <c:layout>
        <c:manualLayout>
          <c:xMode val="edge"/>
          <c:yMode val="edge"/>
          <c:x val="0.6056207349081365"/>
          <c:y val="0.18538539083998579"/>
          <c:w val="0.37771259842519683"/>
          <c:h val="0.79153687103990888"/>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extLst/>
  </c:chart>
  <c:spPr>
    <a:ln>
      <a:noFill/>
    </a:ln>
  </c:spPr>
  <c:txPr>
    <a:bodyPr/>
    <a:lstStyle/>
    <a:p>
      <a:pPr>
        <a:defRPr/>
      </a:pPr>
      <a:endParaRPr lang="ja-JP"/>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ja-JP"/>
              <a:t>Polyurethane Women's Shoes</a:t>
            </a:r>
            <a:endParaRPr lang="ja-JP" altLang="en-US"/>
          </a:p>
        </c:rich>
      </c:tx>
      <c:overlay val="0"/>
      <c:spPr>
        <a:noFill/>
        <a:ln>
          <a:noFill/>
        </a:ln>
        <a:effectLst/>
      </c:spPr>
    </c:title>
    <c:autoTitleDeleted val="0"/>
    <c:plotArea>
      <c:layout/>
      <c:doughnutChart>
        <c:varyColors val="1"/>
        <c:ser>
          <c:idx val="0"/>
          <c:order val="0"/>
          <c:tx>
            <c:strRef>
              <c:f>図表婦人靴!$I$77</c:f>
              <c:strCache>
                <c:ptCount val="1"/>
                <c:pt idx="0">
                  <c:v>総計</c:v>
                </c:pt>
              </c:strCache>
            </c:strRef>
          </c:tx>
          <c:spPr>
            <a:ln>
              <a:solidFill>
                <a:schemeClr val="tx1"/>
              </a:solidFill>
            </a:ln>
          </c:spPr>
          <c:dPt>
            <c:idx val="0"/>
            <c:bubble3D val="0"/>
            <c:spPr>
              <a:solidFill>
                <a:schemeClr val="dk1">
                  <a:tint val="88500"/>
                </a:schemeClr>
              </a:solidFill>
              <a:ln>
                <a:solidFill>
                  <a:schemeClr val="tx1"/>
                </a:solidFill>
              </a:ln>
              <a:effectLst/>
            </c:spPr>
            <c:extLst>
              <c:ext xmlns:c16="http://schemas.microsoft.com/office/drawing/2014/chart" uri="{C3380CC4-5D6E-409C-BE32-E72D297353CC}">
                <c16:uniqueId val="{00000001-3331-4855-B0B6-A7B39B977938}"/>
              </c:ext>
            </c:extLst>
          </c:dPt>
          <c:dPt>
            <c:idx val="1"/>
            <c:bubble3D val="0"/>
            <c:spPr>
              <a:solidFill>
                <a:schemeClr val="dk1">
                  <a:tint val="55000"/>
                </a:schemeClr>
              </a:solidFill>
              <a:ln>
                <a:solidFill>
                  <a:schemeClr val="tx1"/>
                </a:solidFill>
              </a:ln>
              <a:effectLst/>
            </c:spPr>
            <c:extLst>
              <c:ext xmlns:c16="http://schemas.microsoft.com/office/drawing/2014/chart" uri="{C3380CC4-5D6E-409C-BE32-E72D297353CC}">
                <c16:uniqueId val="{00000003-3331-4855-B0B6-A7B39B977938}"/>
              </c:ext>
            </c:extLst>
          </c:dPt>
          <c:dPt>
            <c:idx val="2"/>
            <c:bubble3D val="0"/>
            <c:spPr>
              <a:solidFill>
                <a:schemeClr val="dk1">
                  <a:tint val="75000"/>
                </a:schemeClr>
              </a:solidFill>
              <a:ln>
                <a:solidFill>
                  <a:schemeClr val="tx1"/>
                </a:solidFill>
              </a:ln>
              <a:effectLst/>
            </c:spPr>
            <c:extLst>
              <c:ext xmlns:c16="http://schemas.microsoft.com/office/drawing/2014/chart" uri="{C3380CC4-5D6E-409C-BE32-E72D297353CC}">
                <c16:uniqueId val="{00000005-3331-4855-B0B6-A7B39B977938}"/>
              </c:ext>
            </c:extLst>
          </c:dPt>
          <c:dPt>
            <c:idx val="3"/>
            <c:bubble3D val="0"/>
            <c:spPr>
              <a:solidFill>
                <a:schemeClr val="dk1">
                  <a:tint val="98500"/>
                </a:schemeClr>
              </a:solidFill>
              <a:ln>
                <a:solidFill>
                  <a:schemeClr val="tx1"/>
                </a:solidFill>
              </a:ln>
              <a:effectLst/>
            </c:spPr>
            <c:extLst>
              <c:ext xmlns:c16="http://schemas.microsoft.com/office/drawing/2014/chart" uri="{C3380CC4-5D6E-409C-BE32-E72D297353CC}">
                <c16:uniqueId val="{00000007-3331-4855-B0B6-A7B39B977938}"/>
              </c:ext>
            </c:extLst>
          </c:dPt>
          <c:dPt>
            <c:idx val="4"/>
            <c:bubble3D val="0"/>
            <c:spPr>
              <a:solidFill>
                <a:schemeClr val="dk1">
                  <a:tint val="30000"/>
                </a:schemeClr>
              </a:solidFill>
              <a:ln>
                <a:solidFill>
                  <a:schemeClr val="tx1"/>
                </a:solidFill>
              </a:ln>
              <a:effectLst/>
            </c:spPr>
            <c:extLst>
              <c:ext xmlns:c16="http://schemas.microsoft.com/office/drawing/2014/chart" uri="{C3380CC4-5D6E-409C-BE32-E72D297353CC}">
                <c16:uniqueId val="{00000009-3331-4855-B0B6-A7B39B977938}"/>
              </c:ext>
            </c:extLst>
          </c:dPt>
          <c:dPt>
            <c:idx val="5"/>
            <c:bubble3D val="0"/>
            <c:spPr>
              <a:solidFill>
                <a:schemeClr val="dk1">
                  <a:tint val="60000"/>
                </a:schemeClr>
              </a:solidFill>
              <a:ln>
                <a:solidFill>
                  <a:schemeClr val="tx1"/>
                </a:solidFill>
              </a:ln>
              <a:effectLst/>
            </c:spPr>
            <c:extLst>
              <c:ext xmlns:c16="http://schemas.microsoft.com/office/drawing/2014/chart" uri="{C3380CC4-5D6E-409C-BE32-E72D297353CC}">
                <c16:uniqueId val="{0000000B-3331-4855-B0B6-A7B39B977938}"/>
              </c:ext>
            </c:extLst>
          </c:dPt>
          <c:cat>
            <c:strRef>
              <c:f>図表婦人靴!$H$78:$H$83</c:f>
              <c:strCache>
                <c:ptCount val="6"/>
                <c:pt idx="0">
                  <c:v>134:Outsole - Cracked</c:v>
                </c:pt>
                <c:pt idx="1">
                  <c:v>138:Detouch Adhesive</c:v>
                </c:pt>
                <c:pt idx="2">
                  <c:v>136:Outsole - Deformed</c:v>
                </c:pt>
                <c:pt idx="3">
                  <c:v>131:Upper - Cracked</c:v>
                </c:pt>
                <c:pt idx="4">
                  <c:v>137:Heels - Deformed</c:v>
                </c:pt>
                <c:pt idx="5">
                  <c:v>999:Others</c:v>
                </c:pt>
              </c:strCache>
            </c:strRef>
          </c:cat>
          <c:val>
            <c:numRef>
              <c:f>図表婦人靴!$I$78:$I$83</c:f>
              <c:numCache>
                <c:formatCode>General</c:formatCode>
                <c:ptCount val="6"/>
                <c:pt idx="0">
                  <c:v>67</c:v>
                </c:pt>
                <c:pt idx="1">
                  <c:v>5</c:v>
                </c:pt>
                <c:pt idx="2">
                  <c:v>5</c:v>
                </c:pt>
                <c:pt idx="3">
                  <c:v>4</c:v>
                </c:pt>
                <c:pt idx="4">
                  <c:v>4</c:v>
                </c:pt>
                <c:pt idx="5">
                  <c:v>4</c:v>
                </c:pt>
              </c:numCache>
            </c:numRef>
          </c:val>
          <c:extLst>
            <c:ext xmlns:c16="http://schemas.microsoft.com/office/drawing/2014/chart" uri="{C3380CC4-5D6E-409C-BE32-E72D297353CC}">
              <c16:uniqueId val="{0000000C-3331-4855-B0B6-A7B39B977938}"/>
            </c:ext>
          </c:extLst>
        </c:ser>
        <c:dLbls>
          <c:showLegendKey val="0"/>
          <c:showVal val="0"/>
          <c:showCatName val="0"/>
          <c:showSerName val="0"/>
          <c:showPercent val="0"/>
          <c:showBubbleSize val="0"/>
          <c:showLeaderLines val="0"/>
        </c:dLbls>
        <c:firstSliceAng val="0"/>
        <c:holeSize val="50"/>
      </c:doughnutChart>
      <c:spPr>
        <a:noFill/>
        <a:ln>
          <a:noFill/>
        </a:ln>
        <a:effectLst/>
      </c:spPr>
    </c:plotArea>
    <c:legend>
      <c:legendPos val="r"/>
      <c:layout>
        <c:manualLayout>
          <c:xMode val="edge"/>
          <c:yMode val="edge"/>
          <c:x val="0.6056207349081365"/>
          <c:y val="0.30535542432195978"/>
          <c:w val="0.37771259842519683"/>
          <c:h val="0.67727271537017308"/>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extLst/>
  </c:chart>
  <c:spPr>
    <a:ln>
      <a:noFill/>
    </a:ln>
  </c:spPr>
  <c:txPr>
    <a:bodyPr/>
    <a:lstStyle/>
    <a:p>
      <a:pPr>
        <a:defRPr/>
      </a:pPr>
      <a:endParaRPr lang="ja-JP"/>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ja-JP"/>
              <a:t>Bags</a:t>
            </a:r>
          </a:p>
        </c:rich>
      </c:tx>
      <c:overlay val="0"/>
      <c:spPr>
        <a:noFill/>
        <a:ln>
          <a:noFill/>
        </a:ln>
        <a:effectLst/>
      </c:spPr>
    </c:title>
    <c:autoTitleDeleted val="0"/>
    <c:plotArea>
      <c:layout/>
      <c:barChart>
        <c:barDir val="col"/>
        <c:grouping val="percentStacked"/>
        <c:varyColors val="0"/>
        <c:ser>
          <c:idx val="0"/>
          <c:order val="0"/>
          <c:tx>
            <c:strRef>
              <c:f>図表バッグ!$O$5</c:f>
              <c:strCache>
                <c:ptCount val="1"/>
                <c:pt idx="0">
                  <c:v>41:Leather</c:v>
                </c:pt>
              </c:strCache>
            </c:strRef>
          </c:tx>
          <c:spPr>
            <a:solidFill>
              <a:schemeClr val="dk1">
                <a:tint val="88500"/>
              </a:schemeClr>
            </a:solidFill>
            <a:ln>
              <a:solidFill>
                <a:schemeClr val="tx1"/>
              </a:solidFill>
            </a:ln>
            <a:effectLst/>
          </c:spPr>
          <c:invertIfNegative val="0"/>
          <c:cat>
            <c:strRef>
              <c:f>図表バッグ!$P$4:$Q$4</c:f>
              <c:strCache>
                <c:ptCount val="2"/>
                <c:pt idx="0">
                  <c:v>Within 3 yrs.</c:v>
                </c:pt>
                <c:pt idx="1">
                  <c:v>Over 3 yrs.</c:v>
                </c:pt>
              </c:strCache>
            </c:strRef>
          </c:cat>
          <c:val>
            <c:numRef>
              <c:f>図表バッグ!$P$5:$Q$5</c:f>
              <c:numCache>
                <c:formatCode>General</c:formatCode>
                <c:ptCount val="2"/>
                <c:pt idx="0">
                  <c:v>460</c:v>
                </c:pt>
                <c:pt idx="1">
                  <c:v>92</c:v>
                </c:pt>
              </c:numCache>
            </c:numRef>
          </c:val>
          <c:extLst>
            <c:ext xmlns:c16="http://schemas.microsoft.com/office/drawing/2014/chart" uri="{C3380CC4-5D6E-409C-BE32-E72D297353CC}">
              <c16:uniqueId val="{00000000-D1CC-4F26-810E-E6252A5D4A19}"/>
            </c:ext>
          </c:extLst>
        </c:ser>
        <c:ser>
          <c:idx val="1"/>
          <c:order val="1"/>
          <c:tx>
            <c:strRef>
              <c:f>図表バッグ!$O$6</c:f>
              <c:strCache>
                <c:ptCount val="1"/>
                <c:pt idx="0">
                  <c:v>44:Textile</c:v>
                </c:pt>
              </c:strCache>
            </c:strRef>
          </c:tx>
          <c:spPr>
            <a:solidFill>
              <a:schemeClr val="dk1">
                <a:tint val="55000"/>
              </a:schemeClr>
            </a:solidFill>
            <a:ln>
              <a:solidFill>
                <a:schemeClr val="tx1"/>
              </a:solidFill>
            </a:ln>
            <a:effectLst/>
          </c:spPr>
          <c:invertIfNegative val="0"/>
          <c:cat>
            <c:strRef>
              <c:f>図表バッグ!$P$4:$Q$4</c:f>
              <c:strCache>
                <c:ptCount val="2"/>
                <c:pt idx="0">
                  <c:v>Within 3 yrs.</c:v>
                </c:pt>
                <c:pt idx="1">
                  <c:v>Over 3 yrs.</c:v>
                </c:pt>
              </c:strCache>
            </c:strRef>
          </c:cat>
          <c:val>
            <c:numRef>
              <c:f>図表バッグ!$P$6:$Q$6</c:f>
              <c:numCache>
                <c:formatCode>General</c:formatCode>
                <c:ptCount val="2"/>
                <c:pt idx="0">
                  <c:v>218</c:v>
                </c:pt>
                <c:pt idx="1">
                  <c:v>51</c:v>
                </c:pt>
              </c:numCache>
            </c:numRef>
          </c:val>
          <c:extLst>
            <c:ext xmlns:c16="http://schemas.microsoft.com/office/drawing/2014/chart" uri="{C3380CC4-5D6E-409C-BE32-E72D297353CC}">
              <c16:uniqueId val="{00000001-D1CC-4F26-810E-E6252A5D4A19}"/>
            </c:ext>
          </c:extLst>
        </c:ser>
        <c:ser>
          <c:idx val="2"/>
          <c:order val="2"/>
          <c:tx>
            <c:strRef>
              <c:f>図表バッグ!$O$7</c:f>
              <c:strCache>
                <c:ptCount val="1"/>
                <c:pt idx="0">
                  <c:v>42:Synthetic</c:v>
                </c:pt>
              </c:strCache>
            </c:strRef>
          </c:tx>
          <c:spPr>
            <a:solidFill>
              <a:schemeClr val="dk1">
                <a:tint val="75000"/>
              </a:schemeClr>
            </a:solidFill>
            <a:ln>
              <a:solidFill>
                <a:schemeClr val="tx1"/>
              </a:solidFill>
            </a:ln>
            <a:effectLst/>
          </c:spPr>
          <c:invertIfNegative val="0"/>
          <c:cat>
            <c:strRef>
              <c:f>図表バッグ!$P$4:$Q$4</c:f>
              <c:strCache>
                <c:ptCount val="2"/>
                <c:pt idx="0">
                  <c:v>Within 3 yrs.</c:v>
                </c:pt>
                <c:pt idx="1">
                  <c:v>Over 3 yrs.</c:v>
                </c:pt>
              </c:strCache>
            </c:strRef>
          </c:cat>
          <c:val>
            <c:numRef>
              <c:f>図表バッグ!$P$7:$Q$7</c:f>
              <c:numCache>
                <c:formatCode>General</c:formatCode>
                <c:ptCount val="2"/>
                <c:pt idx="0">
                  <c:v>191</c:v>
                </c:pt>
                <c:pt idx="1">
                  <c:v>85</c:v>
                </c:pt>
              </c:numCache>
            </c:numRef>
          </c:val>
          <c:extLst>
            <c:ext xmlns:c16="http://schemas.microsoft.com/office/drawing/2014/chart" uri="{C3380CC4-5D6E-409C-BE32-E72D297353CC}">
              <c16:uniqueId val="{00000002-D1CC-4F26-810E-E6252A5D4A19}"/>
            </c:ext>
          </c:extLst>
        </c:ser>
        <c:ser>
          <c:idx val="3"/>
          <c:order val="3"/>
          <c:tx>
            <c:strRef>
              <c:f>図表バッグ!$O$8</c:f>
              <c:strCache>
                <c:ptCount val="1"/>
                <c:pt idx="0">
                  <c:v>51:Metal</c:v>
                </c:pt>
              </c:strCache>
            </c:strRef>
          </c:tx>
          <c:spPr>
            <a:solidFill>
              <a:schemeClr val="dk1">
                <a:tint val="98500"/>
              </a:schemeClr>
            </a:solidFill>
            <a:ln>
              <a:solidFill>
                <a:schemeClr val="tx1"/>
              </a:solidFill>
            </a:ln>
            <a:effectLst/>
          </c:spPr>
          <c:invertIfNegative val="0"/>
          <c:cat>
            <c:strRef>
              <c:f>図表バッグ!$P$4:$Q$4</c:f>
              <c:strCache>
                <c:ptCount val="2"/>
                <c:pt idx="0">
                  <c:v>Within 3 yrs.</c:v>
                </c:pt>
                <c:pt idx="1">
                  <c:v>Over 3 yrs.</c:v>
                </c:pt>
              </c:strCache>
            </c:strRef>
          </c:cat>
          <c:val>
            <c:numRef>
              <c:f>図表バッグ!$P$8:$Q$8</c:f>
              <c:numCache>
                <c:formatCode>General</c:formatCode>
                <c:ptCount val="2"/>
                <c:pt idx="0">
                  <c:v>61</c:v>
                </c:pt>
                <c:pt idx="1">
                  <c:v>8</c:v>
                </c:pt>
              </c:numCache>
            </c:numRef>
          </c:val>
          <c:extLst>
            <c:ext xmlns:c16="http://schemas.microsoft.com/office/drawing/2014/chart" uri="{C3380CC4-5D6E-409C-BE32-E72D297353CC}">
              <c16:uniqueId val="{00000003-D1CC-4F26-810E-E6252A5D4A19}"/>
            </c:ext>
          </c:extLst>
        </c:ser>
        <c:ser>
          <c:idx val="4"/>
          <c:order val="4"/>
          <c:tx>
            <c:strRef>
              <c:f>図表バッグ!$O$9</c:f>
              <c:strCache>
                <c:ptCount val="1"/>
                <c:pt idx="0">
                  <c:v>83:Polyurethane</c:v>
                </c:pt>
              </c:strCache>
            </c:strRef>
          </c:tx>
          <c:spPr>
            <a:solidFill>
              <a:schemeClr val="dk1">
                <a:tint val="30000"/>
              </a:schemeClr>
            </a:solidFill>
            <a:ln>
              <a:solidFill>
                <a:schemeClr val="tx1"/>
              </a:solidFill>
            </a:ln>
            <a:effectLst/>
          </c:spPr>
          <c:invertIfNegative val="0"/>
          <c:cat>
            <c:strRef>
              <c:f>図表バッグ!$P$4:$Q$4</c:f>
              <c:strCache>
                <c:ptCount val="2"/>
                <c:pt idx="0">
                  <c:v>Within 3 yrs.</c:v>
                </c:pt>
                <c:pt idx="1">
                  <c:v>Over 3 yrs.</c:v>
                </c:pt>
              </c:strCache>
            </c:strRef>
          </c:cat>
          <c:val>
            <c:numRef>
              <c:f>図表バッグ!$P$9:$Q$9</c:f>
              <c:numCache>
                <c:formatCode>General</c:formatCode>
                <c:ptCount val="2"/>
                <c:pt idx="0">
                  <c:v>14</c:v>
                </c:pt>
                <c:pt idx="1">
                  <c:v>38</c:v>
                </c:pt>
              </c:numCache>
            </c:numRef>
          </c:val>
          <c:extLst>
            <c:ext xmlns:c16="http://schemas.microsoft.com/office/drawing/2014/chart" uri="{C3380CC4-5D6E-409C-BE32-E72D297353CC}">
              <c16:uniqueId val="{00000004-D1CC-4F26-810E-E6252A5D4A19}"/>
            </c:ext>
          </c:extLst>
        </c:ser>
        <c:ser>
          <c:idx val="5"/>
          <c:order val="5"/>
          <c:tx>
            <c:strRef>
              <c:f>図表バッグ!$O$10</c:f>
              <c:strCache>
                <c:ptCount val="1"/>
                <c:pt idx="0">
                  <c:v>70:Resin</c:v>
                </c:pt>
              </c:strCache>
            </c:strRef>
          </c:tx>
          <c:spPr>
            <a:solidFill>
              <a:schemeClr val="dk1">
                <a:tint val="60000"/>
              </a:schemeClr>
            </a:solidFill>
            <a:ln>
              <a:solidFill>
                <a:schemeClr val="tx1"/>
              </a:solidFill>
            </a:ln>
            <a:effectLst/>
          </c:spPr>
          <c:invertIfNegative val="0"/>
          <c:cat>
            <c:strRef>
              <c:f>図表バッグ!$P$4:$Q$4</c:f>
              <c:strCache>
                <c:ptCount val="2"/>
                <c:pt idx="0">
                  <c:v>Within 3 yrs.</c:v>
                </c:pt>
                <c:pt idx="1">
                  <c:v>Over 3 yrs.</c:v>
                </c:pt>
              </c:strCache>
            </c:strRef>
          </c:cat>
          <c:val>
            <c:numRef>
              <c:f>図表バッグ!$P$10:$Q$10</c:f>
              <c:numCache>
                <c:formatCode>General</c:formatCode>
                <c:ptCount val="2"/>
                <c:pt idx="0">
                  <c:v>32</c:v>
                </c:pt>
                <c:pt idx="1">
                  <c:v>5</c:v>
                </c:pt>
              </c:numCache>
            </c:numRef>
          </c:val>
          <c:extLst>
            <c:ext xmlns:c16="http://schemas.microsoft.com/office/drawing/2014/chart" uri="{C3380CC4-5D6E-409C-BE32-E72D297353CC}">
              <c16:uniqueId val="{00000005-D1CC-4F26-810E-E6252A5D4A19}"/>
            </c:ext>
          </c:extLst>
        </c:ser>
        <c:ser>
          <c:idx val="6"/>
          <c:order val="6"/>
          <c:tx>
            <c:strRef>
              <c:f>図表バッグ!$O$11</c:f>
              <c:strCache>
                <c:ptCount val="1"/>
                <c:pt idx="0">
                  <c:v>98:Others</c:v>
                </c:pt>
              </c:strCache>
            </c:strRef>
          </c:tx>
          <c:spPr>
            <a:solidFill>
              <a:schemeClr val="dk1">
                <a:tint val="80000"/>
              </a:schemeClr>
            </a:solidFill>
            <a:ln>
              <a:solidFill>
                <a:schemeClr val="tx1"/>
              </a:solidFill>
            </a:ln>
            <a:effectLst/>
          </c:spPr>
          <c:invertIfNegative val="0"/>
          <c:cat>
            <c:strRef>
              <c:f>図表バッグ!$P$4:$Q$4</c:f>
              <c:strCache>
                <c:ptCount val="2"/>
                <c:pt idx="0">
                  <c:v>Within 3 yrs.</c:v>
                </c:pt>
                <c:pt idx="1">
                  <c:v>Over 3 yrs.</c:v>
                </c:pt>
              </c:strCache>
            </c:strRef>
          </c:cat>
          <c:val>
            <c:numRef>
              <c:f>図表バッグ!$P$11:$Q$11</c:f>
              <c:numCache>
                <c:formatCode>General</c:formatCode>
                <c:ptCount val="2"/>
                <c:pt idx="0">
                  <c:v>59</c:v>
                </c:pt>
                <c:pt idx="1">
                  <c:v>9</c:v>
                </c:pt>
              </c:numCache>
            </c:numRef>
          </c:val>
          <c:extLst>
            <c:ext xmlns:c16="http://schemas.microsoft.com/office/drawing/2014/chart" uri="{C3380CC4-5D6E-409C-BE32-E72D297353CC}">
              <c16:uniqueId val="{00000006-D1CC-4F26-810E-E6252A5D4A19}"/>
            </c:ext>
          </c:extLst>
        </c:ser>
        <c:ser>
          <c:idx val="7"/>
          <c:order val="7"/>
          <c:tx>
            <c:strRef>
              <c:f>図表バッグ!$O$12</c:f>
              <c:strCache>
                <c:ptCount val="1"/>
                <c:pt idx="0">
                  <c:v>99:Not Clear</c:v>
                </c:pt>
              </c:strCache>
            </c:strRef>
          </c:tx>
          <c:spPr>
            <a:solidFill>
              <a:schemeClr val="dk1">
                <a:tint val="88500"/>
              </a:schemeClr>
            </a:solidFill>
            <a:ln>
              <a:solidFill>
                <a:schemeClr val="tx1"/>
              </a:solidFill>
            </a:ln>
            <a:effectLst/>
          </c:spPr>
          <c:invertIfNegative val="0"/>
          <c:cat>
            <c:strRef>
              <c:f>図表バッグ!$P$4:$Q$4</c:f>
              <c:strCache>
                <c:ptCount val="2"/>
                <c:pt idx="0">
                  <c:v>Within 3 yrs.</c:v>
                </c:pt>
                <c:pt idx="1">
                  <c:v>Over 3 yrs.</c:v>
                </c:pt>
              </c:strCache>
            </c:strRef>
          </c:cat>
          <c:val>
            <c:numRef>
              <c:f>図表バッグ!$P$12:$Q$12</c:f>
              <c:numCache>
                <c:formatCode>General</c:formatCode>
                <c:ptCount val="2"/>
                <c:pt idx="0">
                  <c:v>127</c:v>
                </c:pt>
                <c:pt idx="1">
                  <c:v>44</c:v>
                </c:pt>
              </c:numCache>
            </c:numRef>
          </c:val>
          <c:extLst>
            <c:ext xmlns:c16="http://schemas.microsoft.com/office/drawing/2014/chart" uri="{C3380CC4-5D6E-409C-BE32-E72D297353CC}">
              <c16:uniqueId val="{00000007-D1CC-4F26-810E-E6252A5D4A19}"/>
            </c:ext>
          </c:extLst>
        </c:ser>
        <c:dLbls>
          <c:showLegendKey val="0"/>
          <c:showVal val="0"/>
          <c:showCatName val="0"/>
          <c:showSerName val="0"/>
          <c:showPercent val="0"/>
          <c:showBubbleSize val="0"/>
        </c:dLbls>
        <c:gapWidth val="300"/>
        <c:overlap val="100"/>
        <c:serLines>
          <c:spPr>
            <a:ln w="9525" cap="flat" cmpd="sng" algn="ctr">
              <a:solidFill>
                <a:schemeClr val="tx1">
                  <a:lumMod val="35000"/>
                  <a:lumOff val="65000"/>
                </a:schemeClr>
              </a:solidFill>
              <a:round/>
            </a:ln>
            <a:effectLst/>
          </c:spPr>
        </c:serLines>
        <c:axId val="544126096"/>
        <c:axId val="544127744"/>
      </c:barChart>
      <c:catAx>
        <c:axId val="544126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544127744"/>
        <c:crosses val="autoZero"/>
        <c:auto val="1"/>
        <c:lblAlgn val="ctr"/>
        <c:lblOffset val="100"/>
        <c:noMultiLvlLbl val="0"/>
      </c:catAx>
      <c:valAx>
        <c:axId val="5441277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544126096"/>
        <c:crosses val="autoZero"/>
        <c:crossBetween val="between"/>
      </c:valAx>
    </c:plotArea>
    <c:legend>
      <c:legendPos val="r"/>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extLst/>
  </c:chart>
  <c:txPr>
    <a:bodyPr/>
    <a:lstStyle/>
    <a:p>
      <a:pPr>
        <a:defRPr/>
      </a:pPr>
      <a:endParaRPr lang="ja-JP"/>
    </a:p>
  </c:txPr>
  <c:externalData r:id="rId1">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0.00759</cdr:x>
      <cdr:y>0.86207</cdr:y>
    </cdr:from>
    <cdr:to>
      <cdr:x>0.19526</cdr:x>
      <cdr:y>0.99333</cdr:y>
    </cdr:to>
    <cdr:sp macro="" textlink="">
      <cdr:nvSpPr>
        <cdr:cNvPr id="2" name="テキスト ボックス 3"/>
        <cdr:cNvSpPr txBox="1"/>
      </cdr:nvSpPr>
      <cdr:spPr>
        <a:xfrm xmlns:a="http://schemas.openxmlformats.org/drawingml/2006/main">
          <a:off x="28893" y="1847532"/>
          <a:ext cx="714057" cy="281305"/>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non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gn="just"/>
          <a:r>
            <a:rPr lang="en-US" altLang="ja-JP" sz="900" kern="100">
              <a:effectLst/>
              <a:latin typeface="Times New Roman" panose="02020603050405020304" pitchFamily="18" charset="0"/>
              <a:ea typeface="ＭＳ ゴシック" panose="020B0609070205080204" pitchFamily="49" charset="-128"/>
              <a:cs typeface="Times New Roman (本文のフォント - コンプレ"/>
            </a:rPr>
            <a:t>Totals</a:t>
          </a:r>
          <a:r>
            <a:rPr lang="ja-JP" sz="900" kern="100">
              <a:effectLst/>
              <a:latin typeface="Times New Roman" panose="02020603050405020304" pitchFamily="18" charset="0"/>
              <a:ea typeface="ＭＳ ゴシック" panose="020B0609070205080204" pitchFamily="49" charset="-128"/>
              <a:cs typeface="Times New Roman (本文のフォント - コンプレ"/>
            </a:rPr>
            <a:t>　</a:t>
          </a:r>
          <a:r>
            <a:rPr lang="en-US" sz="900" kern="100">
              <a:effectLst/>
              <a:latin typeface="Times New Roman" panose="02020603050405020304" pitchFamily="18" charset="0"/>
              <a:ea typeface="ＭＳ ゴシック" panose="020B0609070205080204" pitchFamily="49" charset="-128"/>
              <a:cs typeface="Times New Roman (本文のフォント - コンプレ"/>
            </a:rPr>
            <a:t>5093</a:t>
          </a:r>
          <a:endParaRPr lang="ja-JP" sz="1050" kern="100">
            <a:effectLst/>
            <a:latin typeface="Times New Roman" panose="02020603050405020304" pitchFamily="18" charset="0"/>
            <a:ea typeface="ＭＳ 明朝" panose="02020609040205080304" pitchFamily="17" charset="-128"/>
            <a:cs typeface="Times New Roman (本文のフォント - コンプレ"/>
          </a:endParaRPr>
        </a:p>
      </cdr:txBody>
    </cdr:sp>
  </cdr:relSizeAnchor>
</c:userShape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BB9E2F-35BC-45AC-BB14-CEF5D08694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315</TotalTime>
  <Pages>8</Pages>
  <Words>2053</Words>
  <Characters>11708</Characters>
  <Application>Microsoft Office Word</Application>
  <DocSecurity>0</DocSecurity>
  <Lines>97</Lines>
  <Paragraphs>27</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13734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Nuti Franca</dc:creator>
  <cp:lastModifiedBy>村井 大輔</cp:lastModifiedBy>
  <cp:revision>17</cp:revision>
  <dcterms:created xsi:type="dcterms:W3CDTF">2021-08-02T08:55:00Z</dcterms:created>
  <dcterms:modified xsi:type="dcterms:W3CDTF">2023-09-15T09:28:00Z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F4BC0CD410DC497F8467ED2AE98103D7_13</vt:lpwstr>
  </property>
</Properties>
</file>